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73EF8" w14:textId="77777777" w:rsidR="0025330C" w:rsidRPr="001277FB" w:rsidRDefault="0025330C" w:rsidP="009111DA">
      <w:pPr>
        <w:spacing w:line="20" w:lineRule="exact"/>
      </w:pPr>
    </w:p>
    <w:p w14:paraId="38914923" w14:textId="7B106A2A" w:rsidR="001277FB" w:rsidRDefault="001277FB" w:rsidP="001277FB">
      <w:pPr>
        <w:pStyle w:val="Overskrift1"/>
      </w:pPr>
      <w:r>
        <w:t>Tavshedserklæring</w:t>
      </w:r>
    </w:p>
    <w:p w14:paraId="45899342" w14:textId="77777777" w:rsidR="001277FB" w:rsidRDefault="001277FB" w:rsidP="00B4060C"/>
    <w:p w14:paraId="2439EB0E" w14:textId="77777777" w:rsidR="001277FB" w:rsidRPr="001277FB" w:rsidRDefault="001277FB" w:rsidP="001277FB">
      <w:pPr>
        <w:rPr>
          <w:b/>
          <w:bCs/>
          <w:i/>
          <w:iCs/>
        </w:rPr>
      </w:pPr>
      <w:r w:rsidRPr="001277FB">
        <w:rPr>
          <w:b/>
          <w:bCs/>
          <w:i/>
          <w:iCs/>
        </w:rPr>
        <w:t>Formål</w:t>
      </w:r>
    </w:p>
    <w:p w14:paraId="5CFB3BBF" w14:textId="77777777" w:rsidR="001277FB" w:rsidRPr="001277FB" w:rsidRDefault="001277FB" w:rsidP="001277FB">
      <w:pPr>
        <w:rPr>
          <w:i/>
          <w:iCs/>
        </w:rPr>
      </w:pPr>
      <w:r w:rsidRPr="001277FB">
        <w:rPr>
          <w:i/>
          <w:iCs/>
        </w:rPr>
        <w:t xml:space="preserve">Denne tavshedserklæring har til formål at sikre, at medlemmer af forældrebestyrelsen i </w:t>
      </w:r>
      <w:r w:rsidRPr="001277FB">
        <w:rPr>
          <w:i/>
          <w:iCs/>
          <w:highlight w:val="yellow"/>
        </w:rPr>
        <w:t>[Navn på daginstitution</w:t>
      </w:r>
      <w:r w:rsidRPr="001277FB">
        <w:rPr>
          <w:i/>
          <w:iCs/>
        </w:rPr>
        <w:t>] overholder gældende regler om tavshedspligt i forbindelse med deres arbejde i bestyrelsen. Tavshedspligten skal beskytte fortrolige oplysninger om børn, forældre, medarbejdere og institutionens forhold, som medlemmerne måtte få kendskab til under deres virke.</w:t>
      </w:r>
    </w:p>
    <w:p w14:paraId="2D2FE90D" w14:textId="77777777" w:rsidR="001277FB" w:rsidRPr="001277FB" w:rsidRDefault="001277FB" w:rsidP="001277FB">
      <w:pPr>
        <w:rPr>
          <w:i/>
          <w:iCs/>
        </w:rPr>
      </w:pPr>
    </w:p>
    <w:p w14:paraId="220C6952" w14:textId="77777777" w:rsidR="001277FB" w:rsidRPr="001277FB" w:rsidRDefault="001277FB" w:rsidP="001277FB">
      <w:pPr>
        <w:rPr>
          <w:b/>
          <w:bCs/>
          <w:i/>
          <w:iCs/>
        </w:rPr>
      </w:pPr>
      <w:r w:rsidRPr="001277FB">
        <w:rPr>
          <w:b/>
          <w:bCs/>
          <w:i/>
          <w:iCs/>
        </w:rPr>
        <w:t>Lovgrundlag</w:t>
      </w:r>
    </w:p>
    <w:p w14:paraId="51314136" w14:textId="77777777" w:rsidR="001277FB" w:rsidRPr="001277FB" w:rsidRDefault="001277FB" w:rsidP="001277FB">
      <w:pPr>
        <w:rPr>
          <w:i/>
          <w:iCs/>
        </w:rPr>
      </w:pPr>
      <w:r w:rsidRPr="001277FB">
        <w:rPr>
          <w:i/>
          <w:iCs/>
        </w:rPr>
        <w:t>Medlemmer af forældrebestyrelsen er omfattet af reglerne om tavshedspligt i forvaltningslovens § 27 og straffelovens §§ 152-152 f. Tavshedspligten indebærer, at fortrolige oplysninger, som medlemmerne får kendskab til i forbindelse med deres arbejde i bestyrelsen, ikke må videregives til uvedkommende.</w:t>
      </w:r>
    </w:p>
    <w:p w14:paraId="699F86F6" w14:textId="77777777" w:rsidR="001277FB" w:rsidRPr="001277FB" w:rsidRDefault="001277FB" w:rsidP="001277FB">
      <w:pPr>
        <w:rPr>
          <w:i/>
          <w:iCs/>
        </w:rPr>
      </w:pPr>
    </w:p>
    <w:p w14:paraId="28097D1C" w14:textId="77777777" w:rsidR="001277FB" w:rsidRPr="001277FB" w:rsidRDefault="001277FB" w:rsidP="001277FB">
      <w:pPr>
        <w:rPr>
          <w:b/>
          <w:bCs/>
          <w:i/>
          <w:iCs/>
        </w:rPr>
      </w:pPr>
      <w:r w:rsidRPr="001277FB">
        <w:rPr>
          <w:b/>
          <w:bCs/>
          <w:i/>
          <w:iCs/>
        </w:rPr>
        <w:t>Omfang af tavshedspligten</w:t>
      </w:r>
    </w:p>
    <w:p w14:paraId="0F116AAD" w14:textId="77777777" w:rsidR="001277FB" w:rsidRPr="001277FB" w:rsidRDefault="001277FB" w:rsidP="001277FB">
      <w:pPr>
        <w:rPr>
          <w:i/>
          <w:iCs/>
        </w:rPr>
      </w:pPr>
      <w:r w:rsidRPr="001277FB">
        <w:rPr>
          <w:i/>
          <w:iCs/>
        </w:rPr>
        <w:t>Tavshedspligten omfatter, men er ikke begrænset til:</w:t>
      </w:r>
    </w:p>
    <w:p w14:paraId="2A36179C" w14:textId="77777777" w:rsidR="001277FB" w:rsidRPr="001277FB" w:rsidRDefault="001277FB" w:rsidP="001277FB">
      <w:pPr>
        <w:numPr>
          <w:ilvl w:val="0"/>
          <w:numId w:val="1"/>
        </w:numPr>
        <w:rPr>
          <w:i/>
          <w:iCs/>
        </w:rPr>
      </w:pPr>
      <w:r w:rsidRPr="001277FB">
        <w:rPr>
          <w:i/>
          <w:iCs/>
        </w:rPr>
        <w:t>Oplysninger om børn og deres familier, herunder personlige, sociale og helbredsmæssige forhold.</w:t>
      </w:r>
    </w:p>
    <w:p w14:paraId="78348E51" w14:textId="77777777" w:rsidR="001277FB" w:rsidRPr="001277FB" w:rsidRDefault="001277FB" w:rsidP="001277FB">
      <w:pPr>
        <w:numPr>
          <w:ilvl w:val="0"/>
          <w:numId w:val="1"/>
        </w:numPr>
        <w:rPr>
          <w:i/>
          <w:iCs/>
        </w:rPr>
      </w:pPr>
      <w:r w:rsidRPr="001277FB">
        <w:rPr>
          <w:i/>
          <w:iCs/>
        </w:rPr>
        <w:t>Oplysninger om medarbejdere, herunder personalesager og andre forhold, der er af fortrolig karakter.</w:t>
      </w:r>
    </w:p>
    <w:p w14:paraId="1344A0AE" w14:textId="77777777" w:rsidR="001277FB" w:rsidRPr="001277FB" w:rsidRDefault="001277FB" w:rsidP="001277FB">
      <w:pPr>
        <w:numPr>
          <w:ilvl w:val="0"/>
          <w:numId w:val="1"/>
        </w:numPr>
        <w:rPr>
          <w:i/>
          <w:iCs/>
        </w:rPr>
      </w:pPr>
      <w:r w:rsidRPr="001277FB">
        <w:rPr>
          <w:i/>
          <w:iCs/>
        </w:rPr>
        <w:t>Oplysninger om institutionens interne forhold, herunder økonomiske og organisatoriske forhold, som ikke er offentligt tilgængelige.</w:t>
      </w:r>
    </w:p>
    <w:p w14:paraId="4AD4F260" w14:textId="77777777" w:rsidR="001277FB" w:rsidRPr="001277FB" w:rsidRDefault="001277FB" w:rsidP="001277FB">
      <w:pPr>
        <w:numPr>
          <w:ilvl w:val="0"/>
          <w:numId w:val="1"/>
        </w:numPr>
        <w:rPr>
          <w:i/>
          <w:iCs/>
        </w:rPr>
      </w:pPr>
      <w:r w:rsidRPr="001277FB">
        <w:rPr>
          <w:i/>
          <w:iCs/>
        </w:rPr>
        <w:t>Oplysninger, der i øvrigt er betegnet som fortrolige i henhold til lovgivning eller institutionens interne retningslinjer.</w:t>
      </w:r>
    </w:p>
    <w:p w14:paraId="66632B6F" w14:textId="77777777" w:rsidR="001277FB" w:rsidRPr="001277FB" w:rsidRDefault="001277FB" w:rsidP="001277FB">
      <w:pPr>
        <w:rPr>
          <w:i/>
          <w:iCs/>
        </w:rPr>
      </w:pPr>
    </w:p>
    <w:p w14:paraId="05862402" w14:textId="77777777" w:rsidR="001277FB" w:rsidRPr="001277FB" w:rsidRDefault="001277FB" w:rsidP="001277FB">
      <w:pPr>
        <w:rPr>
          <w:i/>
          <w:iCs/>
        </w:rPr>
      </w:pPr>
      <w:r w:rsidRPr="001277FB">
        <w:rPr>
          <w:b/>
          <w:bCs/>
          <w:i/>
          <w:iCs/>
        </w:rPr>
        <w:t>Varighed af tavshedspligten</w:t>
      </w:r>
    </w:p>
    <w:p w14:paraId="06201CAC" w14:textId="77777777" w:rsidR="001277FB" w:rsidRPr="001277FB" w:rsidRDefault="001277FB" w:rsidP="001277FB">
      <w:pPr>
        <w:rPr>
          <w:i/>
          <w:iCs/>
        </w:rPr>
      </w:pPr>
      <w:r w:rsidRPr="001277FB">
        <w:rPr>
          <w:i/>
          <w:iCs/>
        </w:rPr>
        <w:t>Tavshedspligten gælder både under og efter medlemskabet af forældrebestyrelsen. Overtrædelse af tavshedspligten kan medføre strafansvar i henhold til straffelovens §§ 152-152 f.</w:t>
      </w:r>
    </w:p>
    <w:p w14:paraId="18F8B1F4" w14:textId="77777777" w:rsidR="001277FB" w:rsidRPr="001277FB" w:rsidRDefault="001277FB" w:rsidP="001277FB">
      <w:pPr>
        <w:rPr>
          <w:i/>
          <w:iCs/>
        </w:rPr>
      </w:pPr>
    </w:p>
    <w:p w14:paraId="17CF8B5A" w14:textId="77777777" w:rsidR="001277FB" w:rsidRPr="001277FB" w:rsidRDefault="001277FB" w:rsidP="001277FB">
      <w:pPr>
        <w:rPr>
          <w:b/>
          <w:bCs/>
          <w:i/>
          <w:iCs/>
        </w:rPr>
      </w:pPr>
      <w:r w:rsidRPr="001277FB">
        <w:rPr>
          <w:b/>
          <w:bCs/>
          <w:i/>
          <w:iCs/>
        </w:rPr>
        <w:t>Undtagelser</w:t>
      </w:r>
    </w:p>
    <w:p w14:paraId="1021A788" w14:textId="77777777" w:rsidR="001277FB" w:rsidRPr="001277FB" w:rsidRDefault="001277FB" w:rsidP="001277FB">
      <w:pPr>
        <w:rPr>
          <w:i/>
          <w:iCs/>
        </w:rPr>
      </w:pPr>
      <w:r w:rsidRPr="001277FB">
        <w:rPr>
          <w:i/>
          <w:iCs/>
        </w:rPr>
        <w:t>Tavshedspligten er ikke til hinder for, at oplysninger videregives, hvis:</w:t>
      </w:r>
    </w:p>
    <w:p w14:paraId="7624C9D8" w14:textId="77777777" w:rsidR="001277FB" w:rsidRPr="001277FB" w:rsidRDefault="001277FB" w:rsidP="001277FB">
      <w:pPr>
        <w:numPr>
          <w:ilvl w:val="0"/>
          <w:numId w:val="2"/>
        </w:numPr>
        <w:rPr>
          <w:i/>
          <w:iCs/>
        </w:rPr>
      </w:pPr>
      <w:r w:rsidRPr="001277FB">
        <w:rPr>
          <w:i/>
          <w:iCs/>
        </w:rPr>
        <w:t>Der foreligger et udtrykkeligt samtykke fra den eller de personer, som oplysningerne vedrører.</w:t>
      </w:r>
    </w:p>
    <w:p w14:paraId="7C606192" w14:textId="77777777" w:rsidR="001277FB" w:rsidRPr="001277FB" w:rsidRDefault="001277FB" w:rsidP="001277FB">
      <w:pPr>
        <w:numPr>
          <w:ilvl w:val="0"/>
          <w:numId w:val="2"/>
        </w:numPr>
        <w:rPr>
          <w:i/>
          <w:iCs/>
        </w:rPr>
      </w:pPr>
      <w:r w:rsidRPr="001277FB">
        <w:rPr>
          <w:i/>
          <w:iCs/>
        </w:rPr>
        <w:t>Videregivelsen sker i overensstemmelse med lovgivningens bestemmelser, herunder forvaltningslovens regler om aktindsigt og offentlighedslovens regler.</w:t>
      </w:r>
    </w:p>
    <w:p w14:paraId="188C12DB" w14:textId="77777777" w:rsidR="001277FB" w:rsidRPr="001277FB" w:rsidRDefault="001277FB" w:rsidP="001277FB">
      <w:pPr>
        <w:rPr>
          <w:i/>
          <w:iCs/>
        </w:rPr>
      </w:pPr>
    </w:p>
    <w:p w14:paraId="50BC15ED" w14:textId="77777777" w:rsidR="001277FB" w:rsidRPr="001277FB" w:rsidRDefault="001277FB" w:rsidP="001277FB">
      <w:pPr>
        <w:rPr>
          <w:b/>
          <w:bCs/>
          <w:i/>
          <w:iCs/>
        </w:rPr>
      </w:pPr>
      <w:r w:rsidRPr="001277FB">
        <w:rPr>
          <w:b/>
          <w:bCs/>
          <w:i/>
          <w:iCs/>
        </w:rPr>
        <w:t>Bekræftelse</w:t>
      </w:r>
    </w:p>
    <w:p w14:paraId="5AA2120B" w14:textId="77777777" w:rsidR="001277FB" w:rsidRPr="001277FB" w:rsidRDefault="001277FB" w:rsidP="001277FB">
      <w:pPr>
        <w:rPr>
          <w:i/>
          <w:iCs/>
        </w:rPr>
      </w:pPr>
      <w:r w:rsidRPr="001277FB">
        <w:rPr>
          <w:i/>
          <w:iCs/>
        </w:rPr>
        <w:t>Ved underskrift af denne erklæring bekræfter jeg, at jeg er bekendt med og forstår reglerne om tavshedspligt, og at jeg vil overholde disse regler i mit virke som medlem af forældrebestyrelsen i [</w:t>
      </w:r>
      <w:r w:rsidRPr="001277FB">
        <w:rPr>
          <w:i/>
          <w:iCs/>
          <w:highlight w:val="yellow"/>
        </w:rPr>
        <w:t>Navn på daginstitution].</w:t>
      </w:r>
    </w:p>
    <w:p w14:paraId="169B0DE2" w14:textId="77777777" w:rsidR="001277FB" w:rsidRPr="001277FB" w:rsidRDefault="001277FB" w:rsidP="001277FB">
      <w:pPr>
        <w:rPr>
          <w:i/>
          <w:iCs/>
        </w:rPr>
      </w:pPr>
    </w:p>
    <w:p w14:paraId="22E673ED" w14:textId="77777777" w:rsidR="001277FB" w:rsidRDefault="001277FB" w:rsidP="001277FB">
      <w:pPr>
        <w:rPr>
          <w:b/>
          <w:bCs/>
          <w:i/>
          <w:iCs/>
        </w:rPr>
      </w:pPr>
      <w:r w:rsidRPr="001277FB">
        <w:rPr>
          <w:b/>
          <w:bCs/>
          <w:i/>
          <w:iCs/>
        </w:rPr>
        <w:t>Navn:</w:t>
      </w:r>
    </w:p>
    <w:p w14:paraId="7D34A1B7" w14:textId="77777777" w:rsidR="001277FB" w:rsidRDefault="001277FB" w:rsidP="001277FB">
      <w:pPr>
        <w:rPr>
          <w:b/>
          <w:bCs/>
          <w:i/>
          <w:iCs/>
        </w:rPr>
      </w:pPr>
      <w:r w:rsidRPr="001277FB">
        <w:rPr>
          <w:i/>
          <w:iCs/>
        </w:rPr>
        <w:br/>
      </w:r>
      <w:r w:rsidRPr="001277FB">
        <w:rPr>
          <w:b/>
          <w:bCs/>
          <w:i/>
          <w:iCs/>
        </w:rPr>
        <w:t>Dato:</w:t>
      </w:r>
    </w:p>
    <w:p w14:paraId="5570616E" w14:textId="7DFA0F94" w:rsidR="001277FB" w:rsidRPr="001277FB" w:rsidRDefault="001277FB" w:rsidP="001277FB">
      <w:pPr>
        <w:rPr>
          <w:i/>
          <w:iCs/>
        </w:rPr>
      </w:pPr>
      <w:r w:rsidRPr="001277FB">
        <w:rPr>
          <w:i/>
          <w:iCs/>
        </w:rPr>
        <w:br/>
      </w:r>
      <w:r w:rsidRPr="001277FB">
        <w:rPr>
          <w:b/>
          <w:bCs/>
          <w:i/>
          <w:iCs/>
        </w:rPr>
        <w:t>Underskrift:</w:t>
      </w:r>
    </w:p>
    <w:p w14:paraId="275096E5" w14:textId="77777777" w:rsidR="001277FB" w:rsidRDefault="001277FB" w:rsidP="00B4060C"/>
    <w:p w14:paraId="0FF22A7D" w14:textId="77777777" w:rsidR="001277FB" w:rsidRDefault="001277FB" w:rsidP="00B4060C"/>
    <w:p w14:paraId="46C1DE3B" w14:textId="77777777" w:rsidR="001277FB" w:rsidRDefault="001277FB" w:rsidP="00B4060C"/>
    <w:p w14:paraId="5F4AF29F" w14:textId="77777777" w:rsidR="001277FB" w:rsidRDefault="001277FB" w:rsidP="00B4060C"/>
    <w:p w14:paraId="1F502D7B" w14:textId="77777777" w:rsidR="001277FB" w:rsidRDefault="001277FB" w:rsidP="00B4060C"/>
    <w:p w14:paraId="6F1EDF9D" w14:textId="77777777" w:rsidR="001277FB" w:rsidRDefault="001277FB" w:rsidP="00B4060C"/>
    <w:p w14:paraId="7BCEE4ED" w14:textId="77777777" w:rsidR="001277FB" w:rsidRDefault="001277FB" w:rsidP="00B4060C"/>
    <w:p w14:paraId="3D4F2827" w14:textId="77777777" w:rsidR="001277FB" w:rsidRDefault="001277FB" w:rsidP="00B4060C"/>
    <w:p w14:paraId="1D035D2F" w14:textId="77777777" w:rsidR="001277FB" w:rsidRDefault="001277FB" w:rsidP="00B4060C">
      <w:pPr>
        <w:sectPr w:rsidR="001277FB" w:rsidSect="001277F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701" w:left="1134" w:header="567" w:footer="709" w:gutter="0"/>
          <w:cols w:space="708"/>
          <w:titlePg/>
          <w:docGrid w:linePitch="360"/>
        </w:sectPr>
      </w:pPr>
    </w:p>
    <w:p w14:paraId="201B5783" w14:textId="77777777" w:rsidR="001277FB" w:rsidRPr="009A7F4E" w:rsidRDefault="001277FB" w:rsidP="001277FB">
      <w:pPr>
        <w:spacing w:line="240" w:lineRule="auto"/>
        <w:rPr>
          <w:sz w:val="16"/>
          <w:szCs w:val="16"/>
        </w:rPr>
      </w:pPr>
      <w:r w:rsidRPr="009A7F4E">
        <w:rPr>
          <w:b/>
          <w:bCs/>
        </w:rPr>
        <w:t>Forvaltningslovens bestemmelser</w:t>
      </w:r>
    </w:p>
    <w:p w14:paraId="53F8FBD4" w14:textId="77777777" w:rsidR="001277FB" w:rsidRDefault="001277FB" w:rsidP="001277FB">
      <w:pPr>
        <w:spacing w:line="240" w:lineRule="auto"/>
        <w:rPr>
          <w:sz w:val="16"/>
          <w:szCs w:val="16"/>
        </w:rPr>
      </w:pPr>
      <w:r w:rsidRPr="009A7F4E">
        <w:rPr>
          <w:sz w:val="16"/>
          <w:szCs w:val="16"/>
        </w:rPr>
        <w:t>§ 27. Den, der virker inden for den offentlige forvaltning, har tavshedspligt, jf. straffelovens § 152 og §§ 152 c-152 f, med hensyn til oplysninger om</w:t>
      </w:r>
    </w:p>
    <w:p w14:paraId="7C2D858C" w14:textId="77777777" w:rsidR="001277FB" w:rsidRPr="009A7F4E" w:rsidRDefault="001277FB" w:rsidP="001277FB">
      <w:pPr>
        <w:spacing w:line="240" w:lineRule="auto"/>
        <w:rPr>
          <w:sz w:val="16"/>
          <w:szCs w:val="16"/>
        </w:rPr>
      </w:pPr>
    </w:p>
    <w:p w14:paraId="11E1D98C" w14:textId="77777777" w:rsidR="001277FB" w:rsidRDefault="001277FB" w:rsidP="001277FB">
      <w:pPr>
        <w:spacing w:line="240" w:lineRule="auto"/>
        <w:rPr>
          <w:sz w:val="16"/>
          <w:szCs w:val="16"/>
        </w:rPr>
      </w:pPr>
      <w:r w:rsidRPr="009A7F4E">
        <w:rPr>
          <w:sz w:val="16"/>
          <w:szCs w:val="16"/>
        </w:rPr>
        <w:t>1) enkeltpersoners private, herunder økonomiske, forhold og</w:t>
      </w:r>
    </w:p>
    <w:p w14:paraId="545ED89A" w14:textId="77777777" w:rsidR="001277FB" w:rsidRPr="009A7F4E" w:rsidRDefault="001277FB" w:rsidP="001277FB">
      <w:pPr>
        <w:spacing w:line="240" w:lineRule="auto"/>
        <w:rPr>
          <w:sz w:val="16"/>
          <w:szCs w:val="16"/>
        </w:rPr>
      </w:pPr>
    </w:p>
    <w:p w14:paraId="2063880F" w14:textId="77777777" w:rsidR="001277FB" w:rsidRDefault="001277FB" w:rsidP="001277FB">
      <w:pPr>
        <w:spacing w:line="240" w:lineRule="auto"/>
        <w:rPr>
          <w:sz w:val="16"/>
          <w:szCs w:val="16"/>
        </w:rPr>
      </w:pPr>
      <w:r w:rsidRPr="009A7F4E">
        <w:rPr>
          <w:sz w:val="16"/>
          <w:szCs w:val="16"/>
        </w:rPr>
        <w:t>2) tekniske indretninger eller fremgangsmåder eller om drifts- eller forretningsforhold el.lign., for så vidt det er af væsentlig økonomisk betydning for den person eller virksomhed, oplysningerne angår, at oplysningerne ikke videregives.</w:t>
      </w:r>
    </w:p>
    <w:p w14:paraId="6EAB0FC3" w14:textId="77777777" w:rsidR="001277FB" w:rsidRPr="009A7F4E" w:rsidRDefault="001277FB" w:rsidP="001277FB">
      <w:pPr>
        <w:spacing w:line="240" w:lineRule="auto"/>
        <w:rPr>
          <w:sz w:val="16"/>
          <w:szCs w:val="16"/>
        </w:rPr>
      </w:pPr>
    </w:p>
    <w:p w14:paraId="256763C5" w14:textId="77777777" w:rsidR="001277FB" w:rsidRDefault="001277FB" w:rsidP="001277FB">
      <w:pPr>
        <w:spacing w:line="240" w:lineRule="auto"/>
        <w:rPr>
          <w:sz w:val="16"/>
          <w:szCs w:val="16"/>
        </w:rPr>
      </w:pPr>
      <w:r w:rsidRPr="009A7F4E">
        <w:rPr>
          <w:sz w:val="16"/>
          <w:szCs w:val="16"/>
        </w:rPr>
        <w:t xml:space="preserve">Stk. 2. Den, der virker inden for den offentlige forvaltning, har desuden tavshedspligt, jf. straffelovens § 152 og §§ 152 c-152 f, når det er af væsentlig betydning for statens sikkerhed eller rigets forsvar. Det samme gælder, når en oplysning ved lov eller anden gyldig bestemmelse er betegnet som fortrolig, herunder når fortrolighed følger af en </w:t>
      </w:r>
      <w:proofErr w:type="spellStart"/>
      <w:r w:rsidRPr="009A7F4E">
        <w:rPr>
          <w:sz w:val="16"/>
          <w:szCs w:val="16"/>
        </w:rPr>
        <w:t>EU-retlig</w:t>
      </w:r>
      <w:proofErr w:type="spellEnd"/>
      <w:r w:rsidRPr="009A7F4E">
        <w:rPr>
          <w:sz w:val="16"/>
          <w:szCs w:val="16"/>
        </w:rPr>
        <w:t xml:space="preserve"> eller folkeretlig forpligtelse el.lign.</w:t>
      </w:r>
    </w:p>
    <w:p w14:paraId="1E090AA3" w14:textId="77777777" w:rsidR="001277FB" w:rsidRPr="009A7F4E" w:rsidRDefault="001277FB" w:rsidP="001277FB">
      <w:pPr>
        <w:spacing w:line="240" w:lineRule="auto"/>
        <w:rPr>
          <w:sz w:val="16"/>
          <w:szCs w:val="16"/>
        </w:rPr>
      </w:pPr>
    </w:p>
    <w:p w14:paraId="0A6B3883" w14:textId="77777777" w:rsidR="001277FB" w:rsidRDefault="001277FB" w:rsidP="001277FB">
      <w:pPr>
        <w:spacing w:line="240" w:lineRule="auto"/>
        <w:rPr>
          <w:sz w:val="16"/>
          <w:szCs w:val="16"/>
        </w:rPr>
      </w:pPr>
      <w:r w:rsidRPr="009A7F4E">
        <w:rPr>
          <w:sz w:val="16"/>
          <w:szCs w:val="16"/>
        </w:rPr>
        <w:t>Stk. 3. Den, der virker inden for den offentlige forvaltning, har herudover tavshedspligt, jf. straffelovens § 152 og §§ 152 c-152 f, når det er nødvendigt at hemmeligholde en oplysning til beskyttelse af væsentlige hensyn til rigets udenrigspolitiske interesser, herunder forholdet til andre lande eller internationale organisationer.</w:t>
      </w:r>
    </w:p>
    <w:p w14:paraId="360941FE" w14:textId="77777777" w:rsidR="001277FB" w:rsidRPr="009A7F4E" w:rsidRDefault="001277FB" w:rsidP="001277FB">
      <w:pPr>
        <w:spacing w:line="240" w:lineRule="auto"/>
        <w:rPr>
          <w:sz w:val="16"/>
          <w:szCs w:val="16"/>
        </w:rPr>
      </w:pPr>
    </w:p>
    <w:p w14:paraId="4E63B90E" w14:textId="77777777" w:rsidR="001277FB" w:rsidRDefault="001277FB" w:rsidP="001277FB">
      <w:pPr>
        <w:spacing w:line="240" w:lineRule="auto"/>
        <w:rPr>
          <w:sz w:val="16"/>
          <w:szCs w:val="16"/>
        </w:rPr>
      </w:pPr>
      <w:r w:rsidRPr="009A7F4E">
        <w:rPr>
          <w:sz w:val="16"/>
          <w:szCs w:val="16"/>
        </w:rPr>
        <w:t xml:space="preserve">Stk. 4. Den, der virker inden for den offentlige forvaltning, har </w:t>
      </w:r>
      <w:proofErr w:type="gramStart"/>
      <w:r w:rsidRPr="009A7F4E">
        <w:rPr>
          <w:sz w:val="16"/>
          <w:szCs w:val="16"/>
        </w:rPr>
        <w:t>endvidere</w:t>
      </w:r>
      <w:proofErr w:type="gramEnd"/>
      <w:r w:rsidRPr="009A7F4E">
        <w:rPr>
          <w:sz w:val="16"/>
          <w:szCs w:val="16"/>
        </w:rPr>
        <w:t xml:space="preserve"> tavshedspligt, jf. straffelovens § 152 og §§ 152 c-152 f, med hensyn til oplysninger, som det i øvrigt er nødvendigt at hemmeligholde for at varetage væsentlige hensyn til</w:t>
      </w:r>
    </w:p>
    <w:p w14:paraId="7E1B6BE5" w14:textId="77777777" w:rsidR="001277FB" w:rsidRPr="009A7F4E" w:rsidRDefault="001277FB" w:rsidP="001277FB">
      <w:pPr>
        <w:spacing w:line="240" w:lineRule="auto"/>
        <w:rPr>
          <w:sz w:val="16"/>
          <w:szCs w:val="16"/>
        </w:rPr>
      </w:pPr>
    </w:p>
    <w:p w14:paraId="62BF2227" w14:textId="77777777" w:rsidR="001277FB" w:rsidRDefault="001277FB" w:rsidP="001277FB">
      <w:pPr>
        <w:spacing w:line="240" w:lineRule="auto"/>
        <w:rPr>
          <w:sz w:val="16"/>
          <w:szCs w:val="16"/>
        </w:rPr>
      </w:pPr>
      <w:r w:rsidRPr="009A7F4E">
        <w:rPr>
          <w:sz w:val="16"/>
          <w:szCs w:val="16"/>
        </w:rPr>
        <w:t>1) forebyggelse, efterforskning og forfølgning af lovovertrædelser samt straffuldbyrdelse og beskyttelse af sigtede, vidner eller andre i sager om strafferetlig eller disciplinær forfølgning,</w:t>
      </w:r>
    </w:p>
    <w:p w14:paraId="16AD71E4" w14:textId="77777777" w:rsidR="001277FB" w:rsidRPr="009A7F4E" w:rsidRDefault="001277FB" w:rsidP="001277FB">
      <w:pPr>
        <w:spacing w:line="240" w:lineRule="auto"/>
        <w:rPr>
          <w:sz w:val="16"/>
          <w:szCs w:val="16"/>
        </w:rPr>
      </w:pPr>
    </w:p>
    <w:p w14:paraId="598E2ABA" w14:textId="77777777" w:rsidR="001277FB" w:rsidRDefault="001277FB" w:rsidP="001277FB">
      <w:pPr>
        <w:spacing w:line="240" w:lineRule="auto"/>
        <w:rPr>
          <w:sz w:val="16"/>
          <w:szCs w:val="16"/>
        </w:rPr>
      </w:pPr>
      <w:r w:rsidRPr="009A7F4E">
        <w:rPr>
          <w:sz w:val="16"/>
          <w:szCs w:val="16"/>
        </w:rPr>
        <w:t>2) gennemførelse af offentlig kontrol-, regulerings- eller planlægningsvirksomhed eller af påtænkte foranstaltninger i henhold til skatte- og afgiftslovgivningen,</w:t>
      </w:r>
    </w:p>
    <w:p w14:paraId="21AD4638" w14:textId="77777777" w:rsidR="001277FB" w:rsidRPr="009A7F4E" w:rsidRDefault="001277FB" w:rsidP="001277FB">
      <w:pPr>
        <w:spacing w:line="240" w:lineRule="auto"/>
        <w:rPr>
          <w:sz w:val="16"/>
          <w:szCs w:val="16"/>
        </w:rPr>
      </w:pPr>
    </w:p>
    <w:p w14:paraId="3E0A0560" w14:textId="77777777" w:rsidR="001277FB" w:rsidRDefault="001277FB" w:rsidP="001277FB">
      <w:pPr>
        <w:spacing w:line="240" w:lineRule="auto"/>
        <w:rPr>
          <w:sz w:val="16"/>
          <w:szCs w:val="16"/>
        </w:rPr>
      </w:pPr>
      <w:r w:rsidRPr="009A7F4E">
        <w:rPr>
          <w:sz w:val="16"/>
          <w:szCs w:val="16"/>
        </w:rPr>
        <w:t>3) det offentliges økonomiske interesser, herunder udførelsen af det offentliges forretningsvirksomhed,</w:t>
      </w:r>
    </w:p>
    <w:p w14:paraId="2F046C68" w14:textId="77777777" w:rsidR="001277FB" w:rsidRPr="009A7F4E" w:rsidRDefault="001277FB" w:rsidP="001277FB">
      <w:pPr>
        <w:spacing w:line="240" w:lineRule="auto"/>
        <w:rPr>
          <w:sz w:val="16"/>
          <w:szCs w:val="16"/>
        </w:rPr>
      </w:pPr>
    </w:p>
    <w:p w14:paraId="217D0B9E" w14:textId="77777777" w:rsidR="001277FB" w:rsidRDefault="001277FB" w:rsidP="001277FB">
      <w:pPr>
        <w:spacing w:line="240" w:lineRule="auto"/>
        <w:rPr>
          <w:sz w:val="16"/>
          <w:szCs w:val="16"/>
        </w:rPr>
      </w:pPr>
      <w:r w:rsidRPr="009A7F4E">
        <w:rPr>
          <w:sz w:val="16"/>
          <w:szCs w:val="16"/>
        </w:rPr>
        <w:t>4) forskeres og kunstneres originale ideer samt foreløbige forskningsresultater og manuskripter eller</w:t>
      </w:r>
    </w:p>
    <w:p w14:paraId="6B39B1B2" w14:textId="77777777" w:rsidR="001277FB" w:rsidRPr="009A7F4E" w:rsidRDefault="001277FB" w:rsidP="001277FB">
      <w:pPr>
        <w:spacing w:line="240" w:lineRule="auto"/>
        <w:rPr>
          <w:sz w:val="16"/>
          <w:szCs w:val="16"/>
        </w:rPr>
      </w:pPr>
    </w:p>
    <w:p w14:paraId="55337AC6" w14:textId="77777777" w:rsidR="001277FB" w:rsidRDefault="001277FB" w:rsidP="001277FB">
      <w:pPr>
        <w:spacing w:line="240" w:lineRule="auto"/>
        <w:rPr>
          <w:sz w:val="16"/>
          <w:szCs w:val="16"/>
        </w:rPr>
      </w:pPr>
      <w:r w:rsidRPr="009A7F4E">
        <w:rPr>
          <w:sz w:val="16"/>
          <w:szCs w:val="16"/>
        </w:rPr>
        <w:t>5) private og offentlige interesser, hvor hemmeligholdelse efter forholdets særlige karakter er påkrævet.</w:t>
      </w:r>
    </w:p>
    <w:p w14:paraId="4D538C48" w14:textId="77777777" w:rsidR="001277FB" w:rsidRPr="009A7F4E" w:rsidRDefault="001277FB" w:rsidP="001277FB">
      <w:pPr>
        <w:spacing w:line="240" w:lineRule="auto"/>
        <w:rPr>
          <w:sz w:val="16"/>
          <w:szCs w:val="16"/>
        </w:rPr>
      </w:pPr>
    </w:p>
    <w:p w14:paraId="32F9D79F" w14:textId="77777777" w:rsidR="001277FB" w:rsidRDefault="001277FB" w:rsidP="001277FB">
      <w:pPr>
        <w:spacing w:line="240" w:lineRule="auto"/>
        <w:rPr>
          <w:sz w:val="16"/>
          <w:szCs w:val="16"/>
        </w:rPr>
      </w:pPr>
      <w:r w:rsidRPr="009A7F4E">
        <w:rPr>
          <w:sz w:val="16"/>
          <w:szCs w:val="16"/>
        </w:rPr>
        <w:t>Stk. 5. Inden for den offentlige forvaltning kan der kun pålægges tavshedspligt med hensyn til en oplysning, når det er nødvendigt at hemmeligholde den for at varetage væsentlige hensyn til bestemte offentlige eller private interesser som nævnt i stk. 1-4.</w:t>
      </w:r>
    </w:p>
    <w:p w14:paraId="51402528" w14:textId="77777777" w:rsidR="001277FB" w:rsidRPr="009A7F4E" w:rsidRDefault="001277FB" w:rsidP="001277FB">
      <w:pPr>
        <w:spacing w:line="240" w:lineRule="auto"/>
        <w:rPr>
          <w:sz w:val="16"/>
          <w:szCs w:val="16"/>
        </w:rPr>
      </w:pPr>
    </w:p>
    <w:p w14:paraId="35D1B27F" w14:textId="77777777" w:rsidR="001277FB" w:rsidRDefault="001277FB" w:rsidP="001277FB">
      <w:pPr>
        <w:spacing w:line="240" w:lineRule="auto"/>
        <w:rPr>
          <w:sz w:val="16"/>
          <w:szCs w:val="16"/>
        </w:rPr>
      </w:pPr>
      <w:r w:rsidRPr="009A7F4E">
        <w:rPr>
          <w:sz w:val="16"/>
          <w:szCs w:val="16"/>
        </w:rPr>
        <w:t>Stk. 6. En forvaltningsmyndighed kan bestemme, at en person uden for den offentlige forvaltning har tavshedspligt med hensyn til fortrolige oplysninger, som myndigheden videregiver til den pågældende uden at være forpligtet hertil.</w:t>
      </w:r>
    </w:p>
    <w:p w14:paraId="00695F67" w14:textId="77777777" w:rsidR="001277FB" w:rsidRPr="009A7F4E" w:rsidRDefault="001277FB" w:rsidP="001277FB">
      <w:pPr>
        <w:spacing w:line="240" w:lineRule="auto"/>
        <w:rPr>
          <w:sz w:val="16"/>
          <w:szCs w:val="16"/>
        </w:rPr>
      </w:pPr>
    </w:p>
    <w:p w14:paraId="48B993C5" w14:textId="77777777" w:rsidR="001277FB" w:rsidRDefault="001277FB" w:rsidP="001277FB">
      <w:pPr>
        <w:spacing w:line="240" w:lineRule="auto"/>
        <w:rPr>
          <w:sz w:val="16"/>
          <w:szCs w:val="16"/>
        </w:rPr>
      </w:pPr>
      <w:r w:rsidRPr="009A7F4E">
        <w:rPr>
          <w:sz w:val="16"/>
          <w:szCs w:val="16"/>
        </w:rPr>
        <w:t>Stk. 7. Fastsættes der i henhold til § 1, stk. 3, regler om tavshedspligt, eller pålægges der tavshedspligt efter stk. 6, finder straffelovens § 152 og §§ 152 c-152 f tilsvarende anvendelse på overtrædelse af sådanne regler eller pålæg.</w:t>
      </w:r>
    </w:p>
    <w:p w14:paraId="30B726D0" w14:textId="77777777" w:rsidR="001277FB" w:rsidRPr="009A7F4E" w:rsidRDefault="001277FB" w:rsidP="001277FB">
      <w:pPr>
        <w:spacing w:line="240" w:lineRule="auto"/>
        <w:rPr>
          <w:sz w:val="16"/>
          <w:szCs w:val="16"/>
        </w:rPr>
      </w:pPr>
    </w:p>
    <w:p w14:paraId="1266BA0C" w14:textId="77777777" w:rsidR="001277FB" w:rsidRDefault="001277FB" w:rsidP="001277FB">
      <w:pPr>
        <w:spacing w:line="240" w:lineRule="auto"/>
        <w:rPr>
          <w:color w:val="000000" w:themeColor="text1"/>
          <w:sz w:val="16"/>
          <w:szCs w:val="16"/>
        </w:rPr>
      </w:pPr>
      <w:r w:rsidRPr="002E511E">
        <w:rPr>
          <w:color w:val="000000" w:themeColor="text1"/>
          <w:sz w:val="16"/>
          <w:szCs w:val="16"/>
        </w:rPr>
        <w:t>§ 28. For manuel videregivelse af oplysninger om enkeltpersoner (personoplysninger) til en anden forvaltningsmyndighed gælder reglerne i databeskyttelseslovens </w:t>
      </w:r>
      <w:hyperlink r:id="rId14" w:anchor="p6" w:history="1">
        <w:r w:rsidRPr="002E511E">
          <w:rPr>
            <w:color w:val="000000" w:themeColor="text1"/>
            <w:sz w:val="16"/>
            <w:szCs w:val="16"/>
          </w:rPr>
          <w:t>§§ 6-8</w:t>
        </w:r>
      </w:hyperlink>
      <w:r w:rsidRPr="002E511E">
        <w:rPr>
          <w:color w:val="000000" w:themeColor="text1"/>
          <w:sz w:val="16"/>
          <w:szCs w:val="16"/>
        </w:rPr>
        <w:t> og </w:t>
      </w:r>
      <w:hyperlink r:id="rId15" w:anchor="p10" w:history="1">
        <w:r w:rsidRPr="002E511E">
          <w:rPr>
            <w:color w:val="000000" w:themeColor="text1"/>
            <w:sz w:val="16"/>
            <w:szCs w:val="16"/>
          </w:rPr>
          <w:t>10</w:t>
        </w:r>
      </w:hyperlink>
      <w:r w:rsidRPr="002E511E">
        <w:rPr>
          <w:color w:val="000000" w:themeColor="text1"/>
          <w:sz w:val="16"/>
          <w:szCs w:val="16"/>
        </w:rPr>
        <w:t> og </w:t>
      </w:r>
      <w:hyperlink r:id="rId16" w:anchor="p11" w:history="1">
        <w:r w:rsidRPr="002E511E">
          <w:rPr>
            <w:color w:val="000000" w:themeColor="text1"/>
            <w:sz w:val="16"/>
            <w:szCs w:val="16"/>
          </w:rPr>
          <w:t>§ 11</w:t>
        </w:r>
      </w:hyperlink>
      <w:r w:rsidRPr="002E511E">
        <w:rPr>
          <w:color w:val="000000" w:themeColor="text1"/>
          <w:sz w:val="16"/>
          <w:szCs w:val="16"/>
        </w:rPr>
        <w:t>, stk. 1, og i </w:t>
      </w:r>
      <w:hyperlink r:id="rId17" w:anchor="p5" w:history="1">
        <w:r w:rsidRPr="002E511E">
          <w:rPr>
            <w:color w:val="000000" w:themeColor="text1"/>
            <w:sz w:val="16"/>
            <w:szCs w:val="16"/>
          </w:rPr>
          <w:t>artikel 5</w:t>
        </w:r>
      </w:hyperlink>
      <w:r w:rsidRPr="002E511E">
        <w:rPr>
          <w:color w:val="000000" w:themeColor="text1"/>
          <w:sz w:val="16"/>
          <w:szCs w:val="16"/>
        </w:rPr>
        <w:t xml:space="preserve">, stk. 1, litra </w:t>
      </w:r>
      <w:proofErr w:type="spellStart"/>
      <w:r w:rsidRPr="002E511E">
        <w:rPr>
          <w:color w:val="000000" w:themeColor="text1"/>
          <w:sz w:val="16"/>
          <w:szCs w:val="16"/>
        </w:rPr>
        <w:t>a-c</w:t>
      </w:r>
      <w:proofErr w:type="spellEnd"/>
      <w:r w:rsidRPr="002E511E">
        <w:rPr>
          <w:color w:val="000000" w:themeColor="text1"/>
          <w:sz w:val="16"/>
          <w:szCs w:val="16"/>
        </w:rPr>
        <w:t>, </w:t>
      </w:r>
      <w:hyperlink r:id="rId18" w:anchor="p6" w:history="1">
        <w:r w:rsidRPr="002E511E">
          <w:rPr>
            <w:color w:val="000000" w:themeColor="text1"/>
            <w:sz w:val="16"/>
            <w:szCs w:val="16"/>
          </w:rPr>
          <w:t>artikel 6</w:t>
        </w:r>
      </w:hyperlink>
      <w:r w:rsidRPr="002E511E">
        <w:rPr>
          <w:color w:val="000000" w:themeColor="text1"/>
          <w:sz w:val="16"/>
          <w:szCs w:val="16"/>
        </w:rPr>
        <w:t>, </w:t>
      </w:r>
      <w:hyperlink r:id="rId19" w:anchor="p7" w:history="1">
        <w:r w:rsidRPr="002E511E">
          <w:rPr>
            <w:color w:val="000000" w:themeColor="text1"/>
            <w:sz w:val="16"/>
            <w:szCs w:val="16"/>
          </w:rPr>
          <w:t>artikel 7</w:t>
        </w:r>
      </w:hyperlink>
      <w:r w:rsidRPr="002E511E">
        <w:rPr>
          <w:color w:val="000000" w:themeColor="text1"/>
          <w:sz w:val="16"/>
          <w:szCs w:val="16"/>
        </w:rPr>
        <w:t>, stk. 3, 1. og 2. pkt., </w:t>
      </w:r>
      <w:hyperlink r:id="rId20" w:anchor="p9" w:history="1">
        <w:r w:rsidRPr="002E511E">
          <w:rPr>
            <w:color w:val="000000" w:themeColor="text1"/>
            <w:sz w:val="16"/>
            <w:szCs w:val="16"/>
          </w:rPr>
          <w:t>artikel 9</w:t>
        </w:r>
      </w:hyperlink>
      <w:r w:rsidRPr="002E511E">
        <w:rPr>
          <w:color w:val="000000" w:themeColor="text1"/>
          <w:sz w:val="16"/>
          <w:szCs w:val="16"/>
        </w:rPr>
        <w:t> og </w:t>
      </w:r>
      <w:hyperlink r:id="rId21" w:anchor="p10" w:history="1">
        <w:r w:rsidRPr="002E511E">
          <w:rPr>
            <w:color w:val="000000" w:themeColor="text1"/>
            <w:sz w:val="16"/>
            <w:szCs w:val="16"/>
          </w:rPr>
          <w:t>10</w:t>
        </w:r>
      </w:hyperlink>
      <w:r w:rsidRPr="002E511E">
        <w:rPr>
          <w:color w:val="000000" w:themeColor="text1"/>
          <w:sz w:val="16"/>
          <w:szCs w:val="16"/>
        </w:rPr>
        <w:t> og </w:t>
      </w:r>
      <w:hyperlink r:id="rId22" w:anchor="p77" w:history="1">
        <w:r w:rsidRPr="002E511E">
          <w:rPr>
            <w:color w:val="000000" w:themeColor="text1"/>
            <w:sz w:val="16"/>
            <w:szCs w:val="16"/>
          </w:rPr>
          <w:t>artikel 77</w:t>
        </w:r>
      </w:hyperlink>
      <w:r w:rsidRPr="002E511E">
        <w:rPr>
          <w:color w:val="000000" w:themeColor="text1"/>
          <w:sz w:val="16"/>
          <w:szCs w:val="16"/>
        </w:rPr>
        <w:t>, stk. 1, i Europa-Parlamentets og Rådets forordning nr. 2016/679 af 27. april 2016 om beskyttelse af fysiske personer i forbindelse med behandling af personoplysninger og om fri udveksling af sådanne oplysninger, jf. databeskyttelseslovens </w:t>
      </w:r>
      <w:hyperlink r:id="rId23" w:anchor="p2" w:history="1">
        <w:r w:rsidRPr="002E511E">
          <w:rPr>
            <w:color w:val="000000" w:themeColor="text1"/>
            <w:sz w:val="16"/>
            <w:szCs w:val="16"/>
          </w:rPr>
          <w:t>§ 2</w:t>
        </w:r>
      </w:hyperlink>
      <w:r w:rsidRPr="002E511E">
        <w:rPr>
          <w:color w:val="000000" w:themeColor="text1"/>
          <w:sz w:val="16"/>
          <w:szCs w:val="16"/>
        </w:rPr>
        <w:t>, stk. 1. For videregivelse af personoplysninger til en anden forvaltningsmyndighed, der helt eller delvis foretages ved hjælp af automatisk databehandling, finder reglerne i Europa-Parlamentets og Rådets forordning nr. 2016/679 af 27. april 2016 om beskyttelse af fysiske personer i forbindelse med behandling af personoplysninger og om fri udveksling af sådanne oplysninger og databeskyttelsesloven anvendelse, medmindre videregivelsen er reguleret af lov om retshåndhævende myndigheders behandling af personoplysninger</w:t>
      </w:r>
    </w:p>
    <w:p w14:paraId="1DBFD17C" w14:textId="77777777" w:rsidR="001277FB" w:rsidRPr="002E511E" w:rsidRDefault="001277FB" w:rsidP="001277FB">
      <w:pPr>
        <w:spacing w:line="240" w:lineRule="auto"/>
        <w:rPr>
          <w:color w:val="000000" w:themeColor="text1"/>
          <w:sz w:val="16"/>
          <w:szCs w:val="16"/>
        </w:rPr>
      </w:pPr>
    </w:p>
    <w:p w14:paraId="09FC0ACC" w14:textId="77777777" w:rsidR="001277FB" w:rsidRDefault="001277FB" w:rsidP="001277FB">
      <w:pPr>
        <w:spacing w:line="240" w:lineRule="auto"/>
        <w:rPr>
          <w:sz w:val="16"/>
          <w:szCs w:val="16"/>
        </w:rPr>
      </w:pPr>
      <w:r>
        <w:rPr>
          <w:sz w:val="16"/>
          <w:szCs w:val="16"/>
        </w:rPr>
        <w:t xml:space="preserve">Stk. 2. </w:t>
      </w:r>
      <w:r w:rsidRPr="00287C7B">
        <w:rPr>
          <w:sz w:val="16"/>
          <w:szCs w:val="16"/>
        </w:rPr>
        <w:t>Oplysninger af fortrolig karakter, som ikke er omfattet af stk. 1, må kun videregives til en anden forvaltningsmyndighed, når</w:t>
      </w:r>
    </w:p>
    <w:p w14:paraId="60F3221F" w14:textId="77777777" w:rsidR="001277FB" w:rsidRDefault="001277FB" w:rsidP="001277FB">
      <w:pPr>
        <w:spacing w:line="240" w:lineRule="auto"/>
        <w:rPr>
          <w:sz w:val="16"/>
          <w:szCs w:val="16"/>
        </w:rPr>
      </w:pPr>
    </w:p>
    <w:p w14:paraId="2536DC93" w14:textId="77777777" w:rsidR="001277FB" w:rsidRDefault="001277FB" w:rsidP="001277FB">
      <w:pPr>
        <w:spacing w:line="240" w:lineRule="auto"/>
        <w:rPr>
          <w:sz w:val="16"/>
          <w:szCs w:val="16"/>
        </w:rPr>
      </w:pPr>
      <w:r w:rsidRPr="00D27019">
        <w:rPr>
          <w:sz w:val="16"/>
          <w:szCs w:val="16"/>
        </w:rPr>
        <w:t>1)</w:t>
      </w:r>
      <w:r>
        <w:rPr>
          <w:sz w:val="16"/>
          <w:szCs w:val="16"/>
        </w:rPr>
        <w:t xml:space="preserve"> d</w:t>
      </w:r>
      <w:r w:rsidRPr="00D27019">
        <w:rPr>
          <w:sz w:val="16"/>
          <w:szCs w:val="16"/>
        </w:rPr>
        <w:t>en</w:t>
      </w:r>
      <w:r>
        <w:rPr>
          <w:sz w:val="16"/>
          <w:szCs w:val="16"/>
        </w:rPr>
        <w:t>, oplysningen angår, udtrykkeligt har givet samtykke</w:t>
      </w:r>
    </w:p>
    <w:p w14:paraId="098CE65C" w14:textId="77777777" w:rsidR="001277FB" w:rsidRDefault="001277FB" w:rsidP="001277FB">
      <w:pPr>
        <w:spacing w:line="240" w:lineRule="auto"/>
        <w:rPr>
          <w:sz w:val="16"/>
          <w:szCs w:val="16"/>
        </w:rPr>
      </w:pPr>
    </w:p>
    <w:p w14:paraId="44B8AA2D" w14:textId="77777777" w:rsidR="001277FB" w:rsidRDefault="001277FB" w:rsidP="001277FB">
      <w:pPr>
        <w:spacing w:line="240" w:lineRule="auto"/>
        <w:rPr>
          <w:sz w:val="16"/>
          <w:szCs w:val="16"/>
        </w:rPr>
      </w:pPr>
      <w:r>
        <w:rPr>
          <w:sz w:val="16"/>
          <w:szCs w:val="16"/>
        </w:rPr>
        <w:t>2) det følger af lov eller bestemmelser fastsat i henhold til lov, at oplysningen skal videregives, eller</w:t>
      </w:r>
    </w:p>
    <w:p w14:paraId="7B6551B7" w14:textId="77777777" w:rsidR="001277FB" w:rsidRPr="00287C7B" w:rsidRDefault="001277FB" w:rsidP="001277FB">
      <w:pPr>
        <w:spacing w:line="240" w:lineRule="auto"/>
        <w:rPr>
          <w:sz w:val="16"/>
          <w:szCs w:val="16"/>
        </w:rPr>
      </w:pPr>
      <w:r>
        <w:rPr>
          <w:sz w:val="16"/>
          <w:szCs w:val="16"/>
        </w:rPr>
        <w:t xml:space="preserve">3) </w:t>
      </w:r>
      <w:r w:rsidRPr="00287C7B">
        <w:rPr>
          <w:sz w:val="16"/>
          <w:szCs w:val="16"/>
        </w:rPr>
        <w:t>det må antages, at oplysningen vil være af væsentlig betydning for myndighedens virksomhed eller for en afgørelse, myndigheden skal træffe.</w:t>
      </w:r>
    </w:p>
    <w:p w14:paraId="78FCE3B8" w14:textId="77777777" w:rsidR="001277FB" w:rsidRPr="009A7F4E" w:rsidRDefault="001277FB" w:rsidP="001277FB">
      <w:pPr>
        <w:spacing w:line="240" w:lineRule="auto"/>
        <w:rPr>
          <w:sz w:val="16"/>
          <w:szCs w:val="16"/>
        </w:rPr>
      </w:pPr>
    </w:p>
    <w:p w14:paraId="18B90EFE" w14:textId="77777777" w:rsidR="001277FB" w:rsidRPr="009A7F4E" w:rsidRDefault="001277FB" w:rsidP="001277FB">
      <w:pPr>
        <w:spacing w:line="240" w:lineRule="auto"/>
        <w:rPr>
          <w:b/>
          <w:bCs/>
        </w:rPr>
      </w:pPr>
      <w:r w:rsidRPr="009A7F4E">
        <w:rPr>
          <w:b/>
          <w:bCs/>
        </w:rPr>
        <w:t>Straffelovens bestemmelser</w:t>
      </w:r>
    </w:p>
    <w:p w14:paraId="0E80F793" w14:textId="77777777" w:rsidR="001277FB" w:rsidRDefault="001277FB" w:rsidP="001277FB">
      <w:pPr>
        <w:spacing w:line="240" w:lineRule="auto"/>
        <w:rPr>
          <w:sz w:val="16"/>
          <w:szCs w:val="16"/>
        </w:rPr>
      </w:pPr>
      <w:r>
        <w:rPr>
          <w:sz w:val="16"/>
          <w:szCs w:val="16"/>
        </w:rPr>
        <w:t xml:space="preserve">§ 144. </w:t>
      </w:r>
      <w:r w:rsidRPr="002706EB">
        <w:rPr>
          <w:sz w:val="16"/>
          <w:szCs w:val="16"/>
        </w:rPr>
        <w:t>Den, der i udøvelse af dansk, udenlandsk eller international offentlig tjeneste eller hverv uberettiget modtager, fordrer eller lader sig tilsige en gave eller anden fordel, straffes med bøde eller fængsel indtil 6 år.</w:t>
      </w:r>
    </w:p>
    <w:p w14:paraId="01DF89D0" w14:textId="77777777" w:rsidR="001277FB" w:rsidRPr="002706EB" w:rsidRDefault="001277FB" w:rsidP="001277FB">
      <w:pPr>
        <w:spacing w:line="240" w:lineRule="auto"/>
        <w:rPr>
          <w:sz w:val="16"/>
          <w:szCs w:val="16"/>
        </w:rPr>
      </w:pPr>
    </w:p>
    <w:p w14:paraId="04A678F4" w14:textId="77777777" w:rsidR="001277FB" w:rsidRDefault="001277FB" w:rsidP="001277FB">
      <w:pPr>
        <w:spacing w:line="240" w:lineRule="auto"/>
        <w:rPr>
          <w:sz w:val="16"/>
          <w:szCs w:val="16"/>
        </w:rPr>
      </w:pPr>
      <w:r>
        <w:rPr>
          <w:sz w:val="16"/>
          <w:szCs w:val="16"/>
        </w:rPr>
        <w:t xml:space="preserve">§ 145. </w:t>
      </w:r>
      <w:r w:rsidRPr="002706EB">
        <w:rPr>
          <w:sz w:val="16"/>
          <w:szCs w:val="16"/>
        </w:rPr>
        <w:t>Kræver eller modtager nogen, som virker i offentlig tjeneste eller hverv, for privat vindings skyld kendelse for tjenestehandling, skat eller afgift, der ikke skyldes, straffes han med bøde eller fængsel indtil 6 år. Beholder han for privat vindings skyld sådan i god tro oppebåren ydelse efter at være blevet opmærksom på fejlen, straffes han med bøde eller fængsel indtil 2 år.</w:t>
      </w:r>
    </w:p>
    <w:p w14:paraId="34EB035E" w14:textId="77777777" w:rsidR="001277FB" w:rsidRDefault="001277FB" w:rsidP="001277FB">
      <w:pPr>
        <w:spacing w:line="240" w:lineRule="auto"/>
        <w:rPr>
          <w:sz w:val="16"/>
          <w:szCs w:val="16"/>
        </w:rPr>
      </w:pPr>
    </w:p>
    <w:p w14:paraId="017AE51D" w14:textId="77777777" w:rsidR="001277FB" w:rsidRDefault="001277FB" w:rsidP="001277FB">
      <w:pPr>
        <w:spacing w:line="240" w:lineRule="auto"/>
        <w:rPr>
          <w:sz w:val="16"/>
          <w:szCs w:val="16"/>
        </w:rPr>
      </w:pPr>
      <w:r w:rsidRPr="000F46F4">
        <w:rPr>
          <w:sz w:val="16"/>
          <w:szCs w:val="16"/>
        </w:rPr>
        <w:t>§ 150. Når nogen, som virker i offentlig tjeneste eller hverv, misbruger sin stilling til at tvinge nogen til at gøre, tåle eller undlade noget, straffes han med fængsel indtil 3 år.</w:t>
      </w:r>
    </w:p>
    <w:p w14:paraId="3E0F6B22" w14:textId="77777777" w:rsidR="001277FB" w:rsidRPr="000F46F4" w:rsidRDefault="001277FB" w:rsidP="001277FB">
      <w:pPr>
        <w:spacing w:line="240" w:lineRule="auto"/>
        <w:rPr>
          <w:sz w:val="16"/>
          <w:szCs w:val="16"/>
        </w:rPr>
      </w:pPr>
    </w:p>
    <w:p w14:paraId="62B42D0D" w14:textId="77777777" w:rsidR="001277FB" w:rsidRDefault="001277FB" w:rsidP="001277FB">
      <w:pPr>
        <w:spacing w:line="240" w:lineRule="auto"/>
        <w:rPr>
          <w:sz w:val="16"/>
          <w:szCs w:val="16"/>
        </w:rPr>
      </w:pPr>
      <w:r w:rsidRPr="000F46F4">
        <w:rPr>
          <w:sz w:val="16"/>
          <w:szCs w:val="16"/>
        </w:rPr>
        <w:t>§ 151. Den, som tilskynder eller medvirker til, at nogen, der er underordnet vedkommende i offentlig tjeneste eller hverv, forbryder sig i denne tjeneste, straffes, uden hensyn til om den underordnede kan straffes eller på grund af vildfarelse eller af andre grunde er straffri, efter den for den pågældende forbrydelse gældende bestemmelse</w:t>
      </w:r>
      <w:r>
        <w:rPr>
          <w:sz w:val="16"/>
          <w:szCs w:val="16"/>
        </w:rPr>
        <w:t>.</w:t>
      </w:r>
    </w:p>
    <w:p w14:paraId="0D37441D" w14:textId="77777777" w:rsidR="001277FB" w:rsidRDefault="001277FB" w:rsidP="001277FB">
      <w:pPr>
        <w:spacing w:line="240" w:lineRule="auto"/>
        <w:rPr>
          <w:sz w:val="16"/>
          <w:szCs w:val="16"/>
        </w:rPr>
      </w:pPr>
    </w:p>
    <w:p w14:paraId="3531294F" w14:textId="77777777" w:rsidR="001277FB" w:rsidRDefault="001277FB" w:rsidP="001277FB">
      <w:pPr>
        <w:spacing w:line="240" w:lineRule="auto"/>
        <w:rPr>
          <w:sz w:val="16"/>
          <w:szCs w:val="16"/>
        </w:rPr>
      </w:pPr>
      <w:r w:rsidRPr="009A7F4E">
        <w:rPr>
          <w:sz w:val="16"/>
          <w:szCs w:val="16"/>
        </w:rPr>
        <w:t>§152. Den, som virker eller har virket i offentlig tjeneste eller hverv, og som uberettiget videregiver eller udnytter fortrolige oplysninger, hvortil den pågældende i den forbindelse har fået kendskab, straffes med bøde eller fængsel indtil 6 måneder.</w:t>
      </w:r>
    </w:p>
    <w:p w14:paraId="4E8A14CD" w14:textId="77777777" w:rsidR="001277FB" w:rsidRPr="009A7F4E" w:rsidRDefault="001277FB" w:rsidP="001277FB">
      <w:pPr>
        <w:spacing w:line="240" w:lineRule="auto"/>
        <w:rPr>
          <w:sz w:val="16"/>
          <w:szCs w:val="16"/>
        </w:rPr>
      </w:pPr>
    </w:p>
    <w:p w14:paraId="3025B25E" w14:textId="77777777" w:rsidR="001277FB" w:rsidRDefault="001277FB" w:rsidP="001277FB">
      <w:pPr>
        <w:spacing w:line="240" w:lineRule="auto"/>
        <w:rPr>
          <w:sz w:val="16"/>
          <w:szCs w:val="16"/>
        </w:rPr>
      </w:pPr>
      <w:r w:rsidRPr="009A7F4E">
        <w:rPr>
          <w:sz w:val="16"/>
          <w:szCs w:val="16"/>
        </w:rPr>
        <w:t>Stk. 2. Begås det i stk. 1 nævnte forhold med forsæt til at skaffe sig eller andre uberettiget vinding, eller foreligger der i øvrigt særligt skærpende omstændigheder, kan straffen</w:t>
      </w:r>
      <w:r>
        <w:rPr>
          <w:sz w:val="16"/>
          <w:szCs w:val="16"/>
        </w:rPr>
        <w:t xml:space="preserve"> </w:t>
      </w:r>
      <w:r w:rsidRPr="009A7F4E">
        <w:rPr>
          <w:sz w:val="16"/>
          <w:szCs w:val="16"/>
        </w:rPr>
        <w:t xml:space="preserve">stige til fængsel indtil 2 år. Som særligt skærpende omstændighed anses navnlig tilfælde, hvor videregivelsen eller udnyttelsen er sket under sådanne omstændigheder, at </w:t>
      </w:r>
      <w:r w:rsidRPr="009A7F4E">
        <w:rPr>
          <w:sz w:val="16"/>
          <w:szCs w:val="16"/>
        </w:rPr>
        <w:lastRenderedPageBreak/>
        <w:t>det påfører andre en betydelig skade eller indebærer en særlig risiko herfor.</w:t>
      </w:r>
    </w:p>
    <w:p w14:paraId="0866D0F2" w14:textId="77777777" w:rsidR="00F12AF2" w:rsidRPr="009A7F4E" w:rsidRDefault="00F12AF2" w:rsidP="001277FB">
      <w:pPr>
        <w:spacing w:line="240" w:lineRule="auto"/>
        <w:rPr>
          <w:sz w:val="16"/>
          <w:szCs w:val="16"/>
        </w:rPr>
      </w:pPr>
    </w:p>
    <w:p w14:paraId="31387A38" w14:textId="77777777" w:rsidR="001277FB" w:rsidRDefault="001277FB" w:rsidP="001277FB">
      <w:pPr>
        <w:spacing w:line="240" w:lineRule="auto"/>
        <w:rPr>
          <w:sz w:val="16"/>
          <w:szCs w:val="16"/>
        </w:rPr>
      </w:pPr>
      <w:r w:rsidRPr="009A7F4E">
        <w:rPr>
          <w:sz w:val="16"/>
          <w:szCs w:val="16"/>
        </w:rPr>
        <w:t>Stk. 3. En oplysning er fortrolig, når den ved lov eller anden gyldig bestemmelse er betegnet som sådan, eller når det i øvrigt er nødvendigt at hemmeligholde den for at varetage væsentlige hensyn til offentlige eller private interesser.</w:t>
      </w:r>
    </w:p>
    <w:p w14:paraId="7370DB1F" w14:textId="77777777" w:rsidR="00F12AF2" w:rsidRPr="009A7F4E" w:rsidRDefault="00F12AF2" w:rsidP="001277FB">
      <w:pPr>
        <w:spacing w:line="240" w:lineRule="auto"/>
        <w:rPr>
          <w:sz w:val="16"/>
          <w:szCs w:val="16"/>
        </w:rPr>
      </w:pPr>
    </w:p>
    <w:p w14:paraId="5EB5876A" w14:textId="77777777" w:rsidR="001277FB" w:rsidRDefault="001277FB" w:rsidP="001277FB">
      <w:pPr>
        <w:spacing w:line="240" w:lineRule="auto"/>
        <w:rPr>
          <w:sz w:val="16"/>
          <w:szCs w:val="16"/>
        </w:rPr>
      </w:pPr>
      <w:r w:rsidRPr="009A7F4E">
        <w:rPr>
          <w:sz w:val="16"/>
          <w:szCs w:val="16"/>
        </w:rPr>
        <w:t>§152 a. Bestemmelsen i § 152 finder tilsvarende anvendelse på den, som i øvrigt er eller har været beskæftiget med opgaver, der udføres efter aftale med en offentlig myndighed. Det samme gælder den, som virker eller har virket ved telefonanlæg, der er anerkendt af det offentlige.</w:t>
      </w:r>
    </w:p>
    <w:p w14:paraId="6A533F56" w14:textId="77777777" w:rsidR="00F12AF2" w:rsidRPr="009A7F4E" w:rsidRDefault="00F12AF2" w:rsidP="001277FB">
      <w:pPr>
        <w:spacing w:line="240" w:lineRule="auto"/>
        <w:rPr>
          <w:sz w:val="16"/>
          <w:szCs w:val="16"/>
        </w:rPr>
      </w:pPr>
    </w:p>
    <w:p w14:paraId="7518DBE0" w14:textId="77777777" w:rsidR="001277FB" w:rsidRDefault="001277FB" w:rsidP="001277FB">
      <w:pPr>
        <w:spacing w:line="240" w:lineRule="auto"/>
        <w:rPr>
          <w:sz w:val="16"/>
          <w:szCs w:val="16"/>
        </w:rPr>
      </w:pPr>
      <w:r w:rsidRPr="009A7F4E">
        <w:rPr>
          <w:sz w:val="16"/>
          <w:szCs w:val="16"/>
        </w:rPr>
        <w:t>§152 b.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w:t>
      </w:r>
    </w:p>
    <w:p w14:paraId="3A39D611" w14:textId="77777777" w:rsidR="00F12AF2" w:rsidRPr="009A7F4E" w:rsidRDefault="00F12AF2" w:rsidP="001277FB">
      <w:pPr>
        <w:spacing w:line="240" w:lineRule="auto"/>
        <w:rPr>
          <w:sz w:val="16"/>
          <w:szCs w:val="16"/>
        </w:rPr>
      </w:pPr>
    </w:p>
    <w:p w14:paraId="55B80F91" w14:textId="77777777" w:rsidR="001277FB" w:rsidRDefault="001277FB" w:rsidP="001277FB">
      <w:pPr>
        <w:spacing w:line="240" w:lineRule="auto"/>
        <w:rPr>
          <w:sz w:val="16"/>
          <w:szCs w:val="16"/>
        </w:rPr>
      </w:pPr>
      <w:r w:rsidRPr="009A7F4E">
        <w:rPr>
          <w:sz w:val="16"/>
          <w:szCs w:val="16"/>
        </w:rPr>
        <w:t xml:space="preserve">Stk. 2. Med samme straf som efter § 152 straffes </w:t>
      </w:r>
      <w:proofErr w:type="gramStart"/>
      <w:r w:rsidRPr="009A7F4E">
        <w:rPr>
          <w:sz w:val="16"/>
          <w:szCs w:val="16"/>
        </w:rPr>
        <w:t>endvidere</w:t>
      </w:r>
      <w:proofErr w:type="gramEnd"/>
      <w:r w:rsidRPr="009A7F4E">
        <w:rPr>
          <w:sz w:val="16"/>
          <w:szCs w:val="16"/>
        </w:rPr>
        <w:t xml:space="preserv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w:t>
      </w:r>
    </w:p>
    <w:p w14:paraId="49A1481F" w14:textId="77777777" w:rsidR="00F12AF2" w:rsidRPr="009A7F4E" w:rsidRDefault="00F12AF2" w:rsidP="001277FB">
      <w:pPr>
        <w:spacing w:line="240" w:lineRule="auto"/>
        <w:rPr>
          <w:sz w:val="16"/>
          <w:szCs w:val="16"/>
        </w:rPr>
      </w:pPr>
    </w:p>
    <w:p w14:paraId="113A1CCC" w14:textId="77777777" w:rsidR="001277FB" w:rsidRDefault="001277FB" w:rsidP="001277FB">
      <w:pPr>
        <w:spacing w:line="240" w:lineRule="auto"/>
        <w:rPr>
          <w:sz w:val="16"/>
          <w:szCs w:val="16"/>
        </w:rPr>
      </w:pPr>
      <w:r w:rsidRPr="009A7F4E">
        <w:rPr>
          <w:sz w:val="16"/>
          <w:szCs w:val="16"/>
        </w:rPr>
        <w:t>§152 c. Bestemmelserne i §§ 152-152 b gælder også for de pågældende personers medhjælpere.</w:t>
      </w:r>
    </w:p>
    <w:p w14:paraId="234BBF67" w14:textId="77777777" w:rsidR="00F12AF2" w:rsidRPr="009A7F4E" w:rsidRDefault="00F12AF2" w:rsidP="001277FB">
      <w:pPr>
        <w:spacing w:line="240" w:lineRule="auto"/>
        <w:rPr>
          <w:sz w:val="16"/>
          <w:szCs w:val="16"/>
        </w:rPr>
      </w:pPr>
    </w:p>
    <w:p w14:paraId="7D6F7FE5" w14:textId="77777777" w:rsidR="001277FB" w:rsidRDefault="001277FB" w:rsidP="001277FB">
      <w:pPr>
        <w:spacing w:line="240" w:lineRule="auto"/>
        <w:rPr>
          <w:sz w:val="16"/>
          <w:szCs w:val="16"/>
        </w:rPr>
      </w:pPr>
      <w:r w:rsidRPr="009A7F4E">
        <w:rPr>
          <w:sz w:val="16"/>
          <w:szCs w:val="16"/>
        </w:rPr>
        <w:t>§152 d. Bestemmelserne i §§ 152-152 c finder tilsvarende anvendelse på den, som uden at have medvirket til gerningen uberettiget skaffer sig eller udnytter oplysninger, der er fremkommet ved en sådan overtrædelse.</w:t>
      </w:r>
    </w:p>
    <w:p w14:paraId="4925635E" w14:textId="77777777" w:rsidR="00F12AF2" w:rsidRPr="009A7F4E" w:rsidRDefault="00F12AF2" w:rsidP="001277FB">
      <w:pPr>
        <w:spacing w:line="240" w:lineRule="auto"/>
        <w:rPr>
          <w:sz w:val="16"/>
          <w:szCs w:val="16"/>
        </w:rPr>
      </w:pPr>
    </w:p>
    <w:p w14:paraId="30763D08" w14:textId="77777777" w:rsidR="00F12AF2" w:rsidRDefault="001277FB" w:rsidP="001277FB">
      <w:pPr>
        <w:spacing w:line="240" w:lineRule="auto"/>
        <w:rPr>
          <w:sz w:val="16"/>
          <w:szCs w:val="16"/>
        </w:rPr>
      </w:pPr>
      <w:r>
        <w:rPr>
          <w:sz w:val="16"/>
          <w:szCs w:val="16"/>
        </w:rPr>
        <w:t>Stk. 2. M</w:t>
      </w:r>
      <w:r w:rsidRPr="00E543E4">
        <w:rPr>
          <w:sz w:val="16"/>
          <w:szCs w:val="16"/>
        </w:rPr>
        <w:t>ed samme straf straffes den, der uden at have medvirket til gerningen uberettiget videregiver oplysninger om enkeltpersoners rent private forhold, jf.</w:t>
      </w:r>
    </w:p>
    <w:p w14:paraId="398A6077" w14:textId="431017ED" w:rsidR="001277FB" w:rsidRDefault="001277FB" w:rsidP="001277FB">
      <w:pPr>
        <w:spacing w:line="240" w:lineRule="auto"/>
        <w:rPr>
          <w:sz w:val="16"/>
          <w:szCs w:val="16"/>
        </w:rPr>
      </w:pPr>
      <w:r w:rsidRPr="00E543E4">
        <w:rPr>
          <w:sz w:val="16"/>
          <w:szCs w:val="16"/>
        </w:rPr>
        <w:t>forvaltningslovens </w:t>
      </w:r>
      <w:hyperlink r:id="rId24" w:anchor="p28" w:history="1">
        <w:r w:rsidRPr="00E543E4">
          <w:rPr>
            <w:sz w:val="16"/>
            <w:szCs w:val="16"/>
          </w:rPr>
          <w:t>§ 28</w:t>
        </w:r>
      </w:hyperlink>
      <w:r w:rsidRPr="00E543E4">
        <w:rPr>
          <w:sz w:val="16"/>
          <w:szCs w:val="16"/>
        </w:rPr>
        <w:t>, stk. 1, som er fremkommet ved overtrædelse af </w:t>
      </w:r>
      <w:hyperlink r:id="rId25" w:anchor="p152" w:history="1">
        <w:r w:rsidRPr="00E543E4">
          <w:rPr>
            <w:sz w:val="16"/>
            <w:szCs w:val="16"/>
          </w:rPr>
          <w:t>§§ 152-152 c</w:t>
        </w:r>
      </w:hyperlink>
      <w:r w:rsidRPr="00E543E4">
        <w:rPr>
          <w:sz w:val="16"/>
          <w:szCs w:val="16"/>
        </w:rPr>
        <w:t>.</w:t>
      </w:r>
    </w:p>
    <w:p w14:paraId="7906361D" w14:textId="77777777" w:rsidR="00F12AF2" w:rsidRDefault="00F12AF2" w:rsidP="001277FB">
      <w:pPr>
        <w:spacing w:line="240" w:lineRule="auto"/>
        <w:rPr>
          <w:sz w:val="16"/>
          <w:szCs w:val="16"/>
        </w:rPr>
      </w:pPr>
    </w:p>
    <w:p w14:paraId="0CA37AD8" w14:textId="77777777" w:rsidR="001277FB" w:rsidRDefault="001277FB" w:rsidP="001277FB">
      <w:pPr>
        <w:spacing w:line="240" w:lineRule="auto"/>
        <w:rPr>
          <w:sz w:val="16"/>
          <w:szCs w:val="16"/>
        </w:rPr>
      </w:pPr>
      <w:r w:rsidRPr="009A7F4E">
        <w:rPr>
          <w:sz w:val="16"/>
          <w:szCs w:val="16"/>
        </w:rPr>
        <w:t xml:space="preserve">Stk. 3. På samme måde straffes den, som uden at have medvirket til gerningen uberettiget videregiver oplysninger, </w:t>
      </w:r>
      <w:r w:rsidRPr="009A7F4E">
        <w:rPr>
          <w:sz w:val="16"/>
          <w:szCs w:val="16"/>
        </w:rPr>
        <w:t>der er fortrolige af hensyn til statens sikkerhed eller rigets forsvar.</w:t>
      </w:r>
    </w:p>
    <w:p w14:paraId="67619822" w14:textId="77777777" w:rsidR="00F12AF2" w:rsidRPr="009A7F4E" w:rsidRDefault="00F12AF2" w:rsidP="001277FB">
      <w:pPr>
        <w:spacing w:line="240" w:lineRule="auto"/>
        <w:rPr>
          <w:sz w:val="16"/>
          <w:szCs w:val="16"/>
        </w:rPr>
      </w:pPr>
    </w:p>
    <w:p w14:paraId="76AC5A20" w14:textId="77777777" w:rsidR="001277FB" w:rsidRDefault="001277FB" w:rsidP="001277FB">
      <w:pPr>
        <w:spacing w:line="240" w:lineRule="auto"/>
        <w:rPr>
          <w:sz w:val="16"/>
          <w:szCs w:val="16"/>
        </w:rPr>
      </w:pPr>
      <w:r w:rsidRPr="009A7F4E">
        <w:rPr>
          <w:sz w:val="16"/>
          <w:szCs w:val="16"/>
        </w:rPr>
        <w:t>§152 e. Bestemmelserne i §§ 152-152 d omfatter ikke tilfælde, hvor den pågældende:</w:t>
      </w:r>
    </w:p>
    <w:p w14:paraId="3C9F5CFD" w14:textId="77777777" w:rsidR="00F12AF2" w:rsidRPr="009A7F4E" w:rsidRDefault="00F12AF2" w:rsidP="001277FB">
      <w:pPr>
        <w:spacing w:line="240" w:lineRule="auto"/>
        <w:rPr>
          <w:sz w:val="16"/>
          <w:szCs w:val="16"/>
        </w:rPr>
      </w:pPr>
    </w:p>
    <w:p w14:paraId="4D0A7D87" w14:textId="77777777" w:rsidR="001277FB" w:rsidRDefault="001277FB" w:rsidP="001277FB">
      <w:pPr>
        <w:spacing w:line="240" w:lineRule="auto"/>
        <w:rPr>
          <w:sz w:val="16"/>
          <w:szCs w:val="16"/>
        </w:rPr>
      </w:pPr>
      <w:r w:rsidRPr="009A7F4E">
        <w:rPr>
          <w:sz w:val="16"/>
          <w:szCs w:val="16"/>
        </w:rPr>
        <w:t>1)</w:t>
      </w:r>
      <w:r>
        <w:rPr>
          <w:sz w:val="16"/>
          <w:szCs w:val="16"/>
        </w:rPr>
        <w:t xml:space="preserve"> </w:t>
      </w:r>
      <w:r w:rsidRPr="009A7F4E">
        <w:rPr>
          <w:sz w:val="16"/>
          <w:szCs w:val="16"/>
        </w:rPr>
        <w:t>er forpligtet til at videregive oplysningen eller</w:t>
      </w:r>
    </w:p>
    <w:p w14:paraId="69586D44" w14:textId="77777777" w:rsidR="00F12AF2" w:rsidRPr="009A7F4E" w:rsidRDefault="00F12AF2" w:rsidP="001277FB">
      <w:pPr>
        <w:spacing w:line="240" w:lineRule="auto"/>
        <w:rPr>
          <w:sz w:val="16"/>
          <w:szCs w:val="16"/>
        </w:rPr>
      </w:pPr>
    </w:p>
    <w:p w14:paraId="267E8048" w14:textId="77777777" w:rsidR="001277FB" w:rsidRDefault="001277FB" w:rsidP="001277FB">
      <w:pPr>
        <w:spacing w:line="240" w:lineRule="auto"/>
        <w:rPr>
          <w:sz w:val="16"/>
          <w:szCs w:val="16"/>
        </w:rPr>
      </w:pPr>
      <w:r w:rsidRPr="009A7F4E">
        <w:rPr>
          <w:sz w:val="16"/>
          <w:szCs w:val="16"/>
        </w:rPr>
        <w:t>2)</w:t>
      </w:r>
      <w:r>
        <w:rPr>
          <w:sz w:val="16"/>
          <w:szCs w:val="16"/>
        </w:rPr>
        <w:t xml:space="preserve"> </w:t>
      </w:r>
      <w:r w:rsidRPr="009A7F4E">
        <w:rPr>
          <w:sz w:val="16"/>
          <w:szCs w:val="16"/>
        </w:rPr>
        <w:t>handler i berettiget varetagelse af åbenbar almeninteresse eller af eget eller andres tarv.</w:t>
      </w:r>
    </w:p>
    <w:p w14:paraId="4055428F" w14:textId="77777777" w:rsidR="00F12AF2" w:rsidRPr="009A7F4E" w:rsidRDefault="00F12AF2" w:rsidP="001277FB">
      <w:pPr>
        <w:spacing w:line="240" w:lineRule="auto"/>
        <w:rPr>
          <w:sz w:val="16"/>
          <w:szCs w:val="16"/>
        </w:rPr>
      </w:pPr>
    </w:p>
    <w:p w14:paraId="5E0C14A2" w14:textId="77777777" w:rsidR="001277FB" w:rsidRDefault="001277FB" w:rsidP="001277FB">
      <w:pPr>
        <w:spacing w:line="240" w:lineRule="auto"/>
        <w:rPr>
          <w:sz w:val="16"/>
          <w:szCs w:val="16"/>
        </w:rPr>
      </w:pPr>
      <w:r w:rsidRPr="009A7F4E">
        <w:rPr>
          <w:sz w:val="16"/>
          <w:szCs w:val="16"/>
        </w:rPr>
        <w:t>§152 f. Overtrædelse af §§ 152 – 152 d, hvorved der alene er krænket private interesser, er undergivet privat påtale.</w:t>
      </w:r>
    </w:p>
    <w:p w14:paraId="3DB74C5E" w14:textId="77777777" w:rsidR="00F12AF2" w:rsidRPr="009A7F4E" w:rsidRDefault="00F12AF2" w:rsidP="001277FB">
      <w:pPr>
        <w:spacing w:line="240" w:lineRule="auto"/>
        <w:rPr>
          <w:sz w:val="16"/>
          <w:szCs w:val="16"/>
        </w:rPr>
      </w:pPr>
    </w:p>
    <w:p w14:paraId="108079D3" w14:textId="77777777" w:rsidR="001277FB" w:rsidRDefault="001277FB" w:rsidP="001277FB">
      <w:pPr>
        <w:spacing w:line="240" w:lineRule="auto"/>
        <w:rPr>
          <w:sz w:val="16"/>
          <w:szCs w:val="16"/>
        </w:rPr>
      </w:pPr>
      <w:r w:rsidRPr="009A7F4E">
        <w:rPr>
          <w:sz w:val="16"/>
          <w:szCs w:val="16"/>
        </w:rPr>
        <w:t>Stk. 2. Offentlig påtale kan dog ske, når den forurettede anmoder herom.</w:t>
      </w:r>
    </w:p>
    <w:p w14:paraId="708A6E6C" w14:textId="77777777" w:rsidR="00F12AF2" w:rsidRPr="009A7F4E" w:rsidRDefault="00F12AF2" w:rsidP="001277FB">
      <w:pPr>
        <w:spacing w:line="240" w:lineRule="auto"/>
        <w:rPr>
          <w:sz w:val="16"/>
          <w:szCs w:val="16"/>
        </w:rPr>
      </w:pPr>
    </w:p>
    <w:p w14:paraId="2BCE4781" w14:textId="77777777" w:rsidR="001277FB" w:rsidRDefault="001277FB" w:rsidP="001277FB">
      <w:pPr>
        <w:spacing w:line="240" w:lineRule="auto"/>
        <w:rPr>
          <w:sz w:val="16"/>
          <w:szCs w:val="16"/>
        </w:rPr>
      </w:pPr>
      <w:r>
        <w:rPr>
          <w:sz w:val="16"/>
          <w:szCs w:val="16"/>
        </w:rPr>
        <w:t xml:space="preserve">§ 155. </w:t>
      </w:r>
      <w:r w:rsidRPr="002706EB">
        <w:rPr>
          <w:sz w:val="16"/>
          <w:szCs w:val="16"/>
        </w:rPr>
        <w:t>Misbruger nogen, som virker i offentlig tjeneste eller hverv, sin stilling til at krænke privates eller det offentliges ret, straffes han med bøde eller fængsel indtil 4 måneder. Sker det for at skaffe sig eller andre uberettiget fordel, kan fængsel indtil 2 år anvendes.</w:t>
      </w:r>
    </w:p>
    <w:p w14:paraId="6AF712AD" w14:textId="77777777" w:rsidR="00F12AF2" w:rsidRDefault="00F12AF2" w:rsidP="001277FB">
      <w:pPr>
        <w:spacing w:line="240" w:lineRule="auto"/>
        <w:rPr>
          <w:sz w:val="16"/>
          <w:szCs w:val="16"/>
        </w:rPr>
      </w:pPr>
    </w:p>
    <w:p w14:paraId="2399EE04" w14:textId="77777777" w:rsidR="001277FB" w:rsidRDefault="001277FB" w:rsidP="001277FB">
      <w:pPr>
        <w:spacing w:line="240" w:lineRule="auto"/>
        <w:rPr>
          <w:sz w:val="16"/>
          <w:szCs w:val="16"/>
        </w:rPr>
      </w:pPr>
      <w:r>
        <w:rPr>
          <w:sz w:val="16"/>
          <w:szCs w:val="16"/>
        </w:rPr>
        <w:t xml:space="preserve">§ 156. </w:t>
      </w:r>
      <w:r w:rsidRPr="002706EB">
        <w:rPr>
          <w:sz w:val="16"/>
          <w:szCs w:val="16"/>
        </w:rPr>
        <w:t>Når nogen, som virker i offentlig tjeneste eller hverv, nægter eller undlader at opfylde pligt, som tjenesten eller hvervet medfører, eller at efterkomme lovlig tjenstlig befaling, straffes han med bøde eller fængsel indtil 4 måneder. Uden for foranstående bestemmelse falder hverv, hvis udførelse hviler på offentlige valg.</w:t>
      </w:r>
    </w:p>
    <w:p w14:paraId="0CF9557A" w14:textId="77777777" w:rsidR="00F12AF2" w:rsidRPr="002706EB" w:rsidRDefault="00F12AF2" w:rsidP="001277FB">
      <w:pPr>
        <w:spacing w:line="240" w:lineRule="auto"/>
        <w:rPr>
          <w:sz w:val="16"/>
          <w:szCs w:val="16"/>
        </w:rPr>
      </w:pPr>
    </w:p>
    <w:p w14:paraId="634CD43C" w14:textId="77777777" w:rsidR="001277FB" w:rsidRDefault="001277FB" w:rsidP="001277FB">
      <w:pPr>
        <w:spacing w:line="240" w:lineRule="auto"/>
        <w:rPr>
          <w:sz w:val="16"/>
          <w:szCs w:val="16"/>
        </w:rPr>
      </w:pPr>
      <w:r>
        <w:rPr>
          <w:sz w:val="16"/>
          <w:szCs w:val="16"/>
        </w:rPr>
        <w:t xml:space="preserve">Stk. 2. </w:t>
      </w:r>
      <w:r w:rsidRPr="002706EB">
        <w:rPr>
          <w:sz w:val="16"/>
          <w:szCs w:val="16"/>
        </w:rPr>
        <w:t>Begås overtrædelsen af en person i en ledende stilling, kan straffen stige til fængsel indtil 1 år.</w:t>
      </w:r>
    </w:p>
    <w:p w14:paraId="3E0AE615" w14:textId="77777777" w:rsidR="00F12AF2" w:rsidRPr="002706EB" w:rsidRDefault="00F12AF2" w:rsidP="001277FB">
      <w:pPr>
        <w:spacing w:line="240" w:lineRule="auto"/>
        <w:rPr>
          <w:sz w:val="16"/>
          <w:szCs w:val="16"/>
        </w:rPr>
      </w:pPr>
    </w:p>
    <w:p w14:paraId="1576F843" w14:textId="77777777" w:rsidR="001277FB" w:rsidRDefault="001277FB" w:rsidP="001277FB">
      <w:pPr>
        <w:spacing w:line="240" w:lineRule="auto"/>
        <w:rPr>
          <w:sz w:val="16"/>
          <w:szCs w:val="16"/>
        </w:rPr>
      </w:pPr>
      <w:r>
        <w:rPr>
          <w:sz w:val="16"/>
          <w:szCs w:val="16"/>
        </w:rPr>
        <w:t xml:space="preserve">§ 157. </w:t>
      </w:r>
      <w:r w:rsidRPr="002706EB">
        <w:rPr>
          <w:sz w:val="16"/>
          <w:szCs w:val="16"/>
        </w:rPr>
        <w:t>Når nogen, som virker i offentlig tjeneste eller hverv, gør sig skyldig i grov eller oftere gentagen forsømmelse eller skødesløshed i tjenestens eller hvervets udførelse eller i overholdelsen af de pligter, som tjenesten eller hvervet medfører, straffes den pågældende med bøde eller fængsel indtil 4 måneder. Uden for foranstående bestemmelse falder hverv, hvis udførelse hviler på offentlige valg.</w:t>
      </w:r>
    </w:p>
    <w:p w14:paraId="2BC06ACB" w14:textId="77777777" w:rsidR="00F12AF2" w:rsidRDefault="00F12AF2" w:rsidP="001277FB">
      <w:pPr>
        <w:spacing w:line="240" w:lineRule="auto"/>
        <w:rPr>
          <w:sz w:val="16"/>
          <w:szCs w:val="16"/>
        </w:rPr>
      </w:pPr>
    </w:p>
    <w:p w14:paraId="101EDC7D" w14:textId="77777777" w:rsidR="001277FB" w:rsidRPr="00A25AD2" w:rsidRDefault="001277FB" w:rsidP="001277FB">
      <w:pPr>
        <w:spacing w:line="240" w:lineRule="auto"/>
        <w:rPr>
          <w:sz w:val="16"/>
          <w:szCs w:val="16"/>
        </w:rPr>
      </w:pPr>
      <w:r>
        <w:rPr>
          <w:sz w:val="16"/>
          <w:szCs w:val="16"/>
        </w:rPr>
        <w:t xml:space="preserve">Stk. 2. </w:t>
      </w:r>
      <w:r w:rsidRPr="00A25AD2">
        <w:rPr>
          <w:sz w:val="16"/>
          <w:szCs w:val="16"/>
        </w:rPr>
        <w:t>Begås overtrædelsen af en person i en ledende stilling, kan straffen stige til fængsel indtil 1 år.</w:t>
      </w:r>
    </w:p>
    <w:p w14:paraId="0AFD5917" w14:textId="77777777" w:rsidR="001277FB" w:rsidRDefault="001277FB" w:rsidP="001277FB">
      <w:pPr>
        <w:spacing w:line="240" w:lineRule="auto"/>
        <w:rPr>
          <w:sz w:val="16"/>
          <w:szCs w:val="16"/>
        </w:rPr>
      </w:pPr>
    </w:p>
    <w:p w14:paraId="1F1B3B51" w14:textId="344F8B3E" w:rsidR="001277FB" w:rsidRDefault="001277FB" w:rsidP="001277FB">
      <w:pPr>
        <w:spacing w:line="240" w:lineRule="auto"/>
        <w:rPr>
          <w:sz w:val="16"/>
          <w:szCs w:val="16"/>
        </w:rPr>
      </w:pPr>
      <w:r>
        <w:rPr>
          <w:sz w:val="16"/>
          <w:szCs w:val="16"/>
        </w:rPr>
        <w:t xml:space="preserve">   </w:t>
      </w:r>
    </w:p>
    <w:p w14:paraId="251A8BAC" w14:textId="51A52254" w:rsidR="001277FB" w:rsidRDefault="001277FB" w:rsidP="001277FB">
      <w:pPr>
        <w:spacing w:line="240" w:lineRule="auto"/>
        <w:sectPr w:rsidR="001277FB" w:rsidSect="001277FB">
          <w:type w:val="continuous"/>
          <w:pgSz w:w="11906" w:h="16838" w:code="9"/>
          <w:pgMar w:top="1440" w:right="1080" w:bottom="1440" w:left="1080" w:header="567" w:footer="709" w:gutter="0"/>
          <w:cols w:num="2" w:space="708"/>
          <w:titlePg/>
          <w:docGrid w:linePitch="360"/>
        </w:sectPr>
      </w:pPr>
    </w:p>
    <w:p w14:paraId="01FB6994" w14:textId="77777777" w:rsidR="001277FB" w:rsidRDefault="001277FB" w:rsidP="00B4060C"/>
    <w:p w14:paraId="235D895E" w14:textId="77777777" w:rsidR="001277FB" w:rsidRDefault="001277FB" w:rsidP="00B4060C"/>
    <w:sectPr w:rsidR="001277FB" w:rsidSect="001277FB">
      <w:type w:val="continuous"/>
      <w:pgSz w:w="11906" w:h="16838" w:code="9"/>
      <w:pgMar w:top="1701" w:right="1701" w:bottom="226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08B8" w14:textId="77777777" w:rsidR="001277FB" w:rsidRPr="001277FB" w:rsidRDefault="001277FB" w:rsidP="00291C7F">
      <w:pPr>
        <w:spacing w:line="240" w:lineRule="auto"/>
      </w:pPr>
      <w:r w:rsidRPr="001277FB">
        <w:separator/>
      </w:r>
    </w:p>
  </w:endnote>
  <w:endnote w:type="continuationSeparator" w:id="0">
    <w:p w14:paraId="5ABCB7B5" w14:textId="77777777" w:rsidR="001277FB" w:rsidRPr="001277FB" w:rsidRDefault="001277FB" w:rsidP="00291C7F">
      <w:pPr>
        <w:spacing w:line="240" w:lineRule="auto"/>
      </w:pPr>
      <w:r w:rsidRPr="00127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C6957" w14:textId="77777777" w:rsidR="001277FB" w:rsidRDefault="001277F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1972" w14:textId="77777777" w:rsidR="00F53DFC" w:rsidRPr="001277FB" w:rsidRDefault="00F53DFC" w:rsidP="00F53DFC">
    <w:pPr>
      <w:pStyle w:val="Sidenummerering"/>
    </w:pPr>
    <w:r w:rsidRPr="001277FB">
      <w:t xml:space="preserve">Side </w:t>
    </w:r>
    <w:r w:rsidRPr="001277FB">
      <w:fldChar w:fldCharType="begin"/>
    </w:r>
    <w:r w:rsidRPr="001277FB">
      <w:instrText xml:space="preserve"> PAGE   \* MERGEFORMAT </w:instrText>
    </w:r>
    <w:r w:rsidRPr="001277FB">
      <w:fldChar w:fldCharType="separate"/>
    </w:r>
    <w:r w:rsidRPr="001277FB">
      <w:rPr>
        <w:noProof/>
      </w:rPr>
      <w:t>2</w:t>
    </w:r>
    <w:r w:rsidRPr="001277FB">
      <w:fldChar w:fldCharType="end"/>
    </w:r>
    <w:r w:rsidRPr="001277FB">
      <w:t xml:space="preserve"> af </w:t>
    </w:r>
    <w:fldSimple w:instr=" NUMPAGES   \* MERGEFORMAT ">
      <w:r w:rsidR="00BE4F7E" w:rsidRPr="001277F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318A" w14:textId="77777777" w:rsidR="003903F6" w:rsidRPr="001277FB" w:rsidRDefault="003903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10A7" w14:textId="77777777" w:rsidR="001277FB" w:rsidRPr="001277FB" w:rsidRDefault="001277FB" w:rsidP="00291C7F">
      <w:pPr>
        <w:spacing w:line="240" w:lineRule="auto"/>
      </w:pPr>
      <w:r w:rsidRPr="001277FB">
        <w:separator/>
      </w:r>
    </w:p>
  </w:footnote>
  <w:footnote w:type="continuationSeparator" w:id="0">
    <w:p w14:paraId="4D8AE1BD" w14:textId="77777777" w:rsidR="001277FB" w:rsidRPr="001277FB" w:rsidRDefault="001277FB" w:rsidP="00291C7F">
      <w:pPr>
        <w:spacing w:line="240" w:lineRule="auto"/>
      </w:pPr>
      <w:r w:rsidRPr="001277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1574" w14:textId="77777777" w:rsidR="001277FB" w:rsidRDefault="001277F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1277FB" w14:paraId="620779C6" w14:textId="77777777" w:rsidTr="001277FB">
      <w:trPr>
        <w:trHeight w:hRule="exact" w:val="454"/>
      </w:trPr>
      <w:tc>
        <w:tcPr>
          <w:tcW w:w="8901" w:type="dxa"/>
          <w:shd w:val="clear" w:color="auto" w:fill="auto"/>
        </w:tcPr>
        <w:p w14:paraId="7C22E711" w14:textId="10030169" w:rsidR="001277FB" w:rsidRDefault="001277FB" w:rsidP="001277FB">
          <w:pPr>
            <w:pStyle w:val="Sidehoved"/>
          </w:pPr>
          <w:r>
            <w:rPr>
              <w:noProof/>
            </w:rPr>
            <w:drawing>
              <wp:inline distT="0" distB="0" distL="0" distR="0" wp14:anchorId="5E59C8DF" wp14:editId="48EE4535">
                <wp:extent cx="1079500" cy="288290"/>
                <wp:effectExtent l="0" t="0" r="6350" b="0"/>
                <wp:docPr id="677959641" name="Billede 2" descr="Haderslev Kommune"/>
                <wp:cNvGraphicFramePr/>
                <a:graphic xmlns:a="http://schemas.openxmlformats.org/drawingml/2006/main">
                  <a:graphicData uri="http://schemas.openxmlformats.org/drawingml/2006/picture">
                    <pic:pic xmlns:pic="http://schemas.openxmlformats.org/drawingml/2006/picture">
                      <pic:nvPicPr>
                        <pic:cNvPr id="997740520" name="Billede 2"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04699FED" w14:textId="77777777" w:rsidR="003903F6" w:rsidRPr="001277FB" w:rsidRDefault="003903F6">
    <w:pPr>
      <w:pStyle w:val="Sidehoved"/>
    </w:pPr>
  </w:p>
  <w:p w14:paraId="6328F7B9" w14:textId="77777777" w:rsidR="00732EA8" w:rsidRPr="001277FB" w:rsidRDefault="00732EA8" w:rsidP="00732EA8">
    <w:pPr>
      <w:pStyle w:val="Sidehoved"/>
      <w:tabs>
        <w:tab w:val="clear" w:pos="4819"/>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1277FB" w14:paraId="41677B4A" w14:textId="77777777" w:rsidTr="001277FB">
      <w:trPr>
        <w:trHeight w:hRule="exact" w:val="454"/>
      </w:trPr>
      <w:tc>
        <w:tcPr>
          <w:tcW w:w="8901" w:type="dxa"/>
          <w:shd w:val="clear" w:color="auto" w:fill="auto"/>
        </w:tcPr>
        <w:p w14:paraId="2DD78DCB" w14:textId="045B7B76" w:rsidR="001277FB" w:rsidRDefault="001277FB" w:rsidP="001277FB">
          <w:r>
            <w:rPr>
              <w:noProof/>
            </w:rPr>
            <w:drawing>
              <wp:inline distT="0" distB="0" distL="0" distR="0" wp14:anchorId="449C1B9C" wp14:editId="11CC2119">
                <wp:extent cx="1079500" cy="288290"/>
                <wp:effectExtent l="0" t="0" r="6350" b="0"/>
                <wp:docPr id="1366682505" name="Billede 1" descr="Haderslev Kommune"/>
                <wp:cNvGraphicFramePr/>
                <a:graphic xmlns:a="http://schemas.openxmlformats.org/drawingml/2006/main">
                  <a:graphicData uri="http://schemas.openxmlformats.org/drawingml/2006/picture">
                    <pic:pic xmlns:pic="http://schemas.openxmlformats.org/drawingml/2006/picture">
                      <pic:nvPicPr>
                        <pic:cNvPr id="1875615327" name="Billede 1"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799A0DAF" w14:textId="77777777" w:rsidR="003D4A8C" w:rsidRPr="001277FB" w:rsidRDefault="003D4A8C" w:rsidP="009111DA"/>
  <w:p w14:paraId="260BF4A7" w14:textId="77777777" w:rsidR="009111DA" w:rsidRPr="001277FB" w:rsidRDefault="009111DA" w:rsidP="009111DA"/>
  <w:p w14:paraId="33B56ABC" w14:textId="77777777" w:rsidR="009111DA" w:rsidRPr="001277FB" w:rsidRDefault="009111DA" w:rsidP="009111DA"/>
  <w:p w14:paraId="51CC6D63" w14:textId="77777777" w:rsidR="009111DA" w:rsidRPr="001277FB" w:rsidRDefault="009111DA" w:rsidP="009111DA"/>
  <w:p w14:paraId="2A8D468F" w14:textId="77777777" w:rsidR="009111DA" w:rsidRPr="001277FB" w:rsidRDefault="009111DA" w:rsidP="009111DA"/>
  <w:p w14:paraId="08D89C64" w14:textId="77777777" w:rsidR="009111DA" w:rsidRPr="001277FB" w:rsidRDefault="009111DA" w:rsidP="00911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11C6"/>
    <w:multiLevelType w:val="multilevel"/>
    <w:tmpl w:val="F498F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376FDA"/>
    <w:multiLevelType w:val="multilevel"/>
    <w:tmpl w:val="8DAC6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1747301">
    <w:abstractNumId w:val="0"/>
  </w:num>
  <w:num w:numId="2" w16cid:durableId="1979339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6.021"/>
    <w:docVar w:name="DocumentCreated" w:val="DocumentCreated"/>
    <w:docVar w:name="DocumentCreatedOK" w:val="DocumentCreatedOK"/>
    <w:docVar w:name="DocumentInitialized" w:val="OK"/>
    <w:docVar w:name="Encrypted_CloudStatistics_DocumentCreation" w:val="jdVW2FK8uI0YHzTHPTEY1w=="/>
    <w:docVar w:name="Encrypted_CloudStatistics_StoryID" w:val="WOTeUkGvv/lxRPsQ7SKikbz39nu2hzXfudijKY0Cnab2cjbKmorGkMvNhkuiGiro"/>
    <w:docVar w:name="Encrypted_DocHeader" w:val="Qcu+BNVH/EMDiJrD/N/RvkEkDT9SsBhFWFJiiicZHR0="/>
    <w:docVar w:name="Encrypted_DocumentChangeThisVar" w:val="Go1BF8BBsJqqGsR1izlsvQ=="/>
    <w:docVar w:name="IntegrationType" w:val="StandAlone"/>
  </w:docVars>
  <w:rsids>
    <w:rsidRoot w:val="001277FB"/>
    <w:rsid w:val="00014A0A"/>
    <w:rsid w:val="00023F51"/>
    <w:rsid w:val="00035465"/>
    <w:rsid w:val="00053DF0"/>
    <w:rsid w:val="00080703"/>
    <w:rsid w:val="00084FB3"/>
    <w:rsid w:val="000A06BE"/>
    <w:rsid w:val="000A0A49"/>
    <w:rsid w:val="000A70B5"/>
    <w:rsid w:val="000B1A29"/>
    <w:rsid w:val="000C565C"/>
    <w:rsid w:val="000C5D00"/>
    <w:rsid w:val="000D115A"/>
    <w:rsid w:val="001018AE"/>
    <w:rsid w:val="0011140F"/>
    <w:rsid w:val="00111B40"/>
    <w:rsid w:val="00122947"/>
    <w:rsid w:val="001277FB"/>
    <w:rsid w:val="00127F2E"/>
    <w:rsid w:val="00132880"/>
    <w:rsid w:val="00141756"/>
    <w:rsid w:val="00151916"/>
    <w:rsid w:val="00157A0E"/>
    <w:rsid w:val="00162522"/>
    <w:rsid w:val="00182F20"/>
    <w:rsid w:val="00191DA5"/>
    <w:rsid w:val="001940DA"/>
    <w:rsid w:val="00197BA9"/>
    <w:rsid w:val="001C752F"/>
    <w:rsid w:val="001F2CC6"/>
    <w:rsid w:val="002038F3"/>
    <w:rsid w:val="0020570E"/>
    <w:rsid w:val="00213029"/>
    <w:rsid w:val="00216319"/>
    <w:rsid w:val="002321C4"/>
    <w:rsid w:val="00242B2A"/>
    <w:rsid w:val="0025330C"/>
    <w:rsid w:val="002672B5"/>
    <w:rsid w:val="00286C88"/>
    <w:rsid w:val="00287F78"/>
    <w:rsid w:val="00291C7F"/>
    <w:rsid w:val="00293628"/>
    <w:rsid w:val="00293D73"/>
    <w:rsid w:val="002B099A"/>
    <w:rsid w:val="002B5410"/>
    <w:rsid w:val="002C14DA"/>
    <w:rsid w:val="002E5AB0"/>
    <w:rsid w:val="00332004"/>
    <w:rsid w:val="00373688"/>
    <w:rsid w:val="00374D38"/>
    <w:rsid w:val="00383D23"/>
    <w:rsid w:val="003903F6"/>
    <w:rsid w:val="00393377"/>
    <w:rsid w:val="00397031"/>
    <w:rsid w:val="00397E5F"/>
    <w:rsid w:val="003B0EDE"/>
    <w:rsid w:val="003B48C5"/>
    <w:rsid w:val="003C05B9"/>
    <w:rsid w:val="003D4A8C"/>
    <w:rsid w:val="003E0167"/>
    <w:rsid w:val="003E35B3"/>
    <w:rsid w:val="003F715A"/>
    <w:rsid w:val="0040143E"/>
    <w:rsid w:val="00411EF9"/>
    <w:rsid w:val="004127DF"/>
    <w:rsid w:val="00426815"/>
    <w:rsid w:val="0043173E"/>
    <w:rsid w:val="00443032"/>
    <w:rsid w:val="00453D00"/>
    <w:rsid w:val="00457052"/>
    <w:rsid w:val="004604BD"/>
    <w:rsid w:val="00493743"/>
    <w:rsid w:val="00495ED9"/>
    <w:rsid w:val="00496DDF"/>
    <w:rsid w:val="004A74C7"/>
    <w:rsid w:val="004C2138"/>
    <w:rsid w:val="004C52F4"/>
    <w:rsid w:val="004D48EE"/>
    <w:rsid w:val="004E2842"/>
    <w:rsid w:val="004E5DBD"/>
    <w:rsid w:val="004F52FF"/>
    <w:rsid w:val="005014E0"/>
    <w:rsid w:val="005077FB"/>
    <w:rsid w:val="0051714E"/>
    <w:rsid w:val="00522141"/>
    <w:rsid w:val="005236BD"/>
    <w:rsid w:val="00527635"/>
    <w:rsid w:val="00531AEA"/>
    <w:rsid w:val="005508A7"/>
    <w:rsid w:val="005624D9"/>
    <w:rsid w:val="00575EC2"/>
    <w:rsid w:val="0058356B"/>
    <w:rsid w:val="005A4589"/>
    <w:rsid w:val="005D4994"/>
    <w:rsid w:val="005D7E74"/>
    <w:rsid w:val="005F65B8"/>
    <w:rsid w:val="00602E62"/>
    <w:rsid w:val="00604E6B"/>
    <w:rsid w:val="00623639"/>
    <w:rsid w:val="006322BD"/>
    <w:rsid w:val="00660155"/>
    <w:rsid w:val="00666516"/>
    <w:rsid w:val="00673934"/>
    <w:rsid w:val="006A409C"/>
    <w:rsid w:val="006B402E"/>
    <w:rsid w:val="006B688F"/>
    <w:rsid w:val="006D4B69"/>
    <w:rsid w:val="006F37C6"/>
    <w:rsid w:val="00730F03"/>
    <w:rsid w:val="00732EA8"/>
    <w:rsid w:val="00742180"/>
    <w:rsid w:val="00750A92"/>
    <w:rsid w:val="007542A5"/>
    <w:rsid w:val="00792C3E"/>
    <w:rsid w:val="0079604F"/>
    <w:rsid w:val="007A0EB8"/>
    <w:rsid w:val="007B0CF0"/>
    <w:rsid w:val="007B2605"/>
    <w:rsid w:val="007D3337"/>
    <w:rsid w:val="007D6808"/>
    <w:rsid w:val="007D707C"/>
    <w:rsid w:val="007E1890"/>
    <w:rsid w:val="007E7651"/>
    <w:rsid w:val="007F1419"/>
    <w:rsid w:val="00820156"/>
    <w:rsid w:val="00823698"/>
    <w:rsid w:val="008374A6"/>
    <w:rsid w:val="00845A45"/>
    <w:rsid w:val="00850703"/>
    <w:rsid w:val="00861B86"/>
    <w:rsid w:val="00870374"/>
    <w:rsid w:val="008874A9"/>
    <w:rsid w:val="00890E4F"/>
    <w:rsid w:val="00893AED"/>
    <w:rsid w:val="00893D9C"/>
    <w:rsid w:val="00897ABD"/>
    <w:rsid w:val="008B07F5"/>
    <w:rsid w:val="008B2178"/>
    <w:rsid w:val="008B48A9"/>
    <w:rsid w:val="008C16BA"/>
    <w:rsid w:val="008C5D5A"/>
    <w:rsid w:val="008C6E83"/>
    <w:rsid w:val="008E6AE6"/>
    <w:rsid w:val="008F3609"/>
    <w:rsid w:val="0090383A"/>
    <w:rsid w:val="009111DA"/>
    <w:rsid w:val="00956A0F"/>
    <w:rsid w:val="00957C13"/>
    <w:rsid w:val="009B0B7F"/>
    <w:rsid w:val="009E1F39"/>
    <w:rsid w:val="009E45E7"/>
    <w:rsid w:val="009F30A9"/>
    <w:rsid w:val="00A20429"/>
    <w:rsid w:val="00A55E14"/>
    <w:rsid w:val="00A70A3D"/>
    <w:rsid w:val="00A7317F"/>
    <w:rsid w:val="00A7343B"/>
    <w:rsid w:val="00A80713"/>
    <w:rsid w:val="00A80E61"/>
    <w:rsid w:val="00A8325E"/>
    <w:rsid w:val="00AB0A0E"/>
    <w:rsid w:val="00AB6EFD"/>
    <w:rsid w:val="00AC7088"/>
    <w:rsid w:val="00AD33D6"/>
    <w:rsid w:val="00AD678E"/>
    <w:rsid w:val="00AF7275"/>
    <w:rsid w:val="00B053F9"/>
    <w:rsid w:val="00B0546D"/>
    <w:rsid w:val="00B12BF4"/>
    <w:rsid w:val="00B25A3C"/>
    <w:rsid w:val="00B26380"/>
    <w:rsid w:val="00B31A7D"/>
    <w:rsid w:val="00B4060C"/>
    <w:rsid w:val="00B413B2"/>
    <w:rsid w:val="00B434F7"/>
    <w:rsid w:val="00B64CC1"/>
    <w:rsid w:val="00B74A35"/>
    <w:rsid w:val="00B8788E"/>
    <w:rsid w:val="00B9593D"/>
    <w:rsid w:val="00BA155F"/>
    <w:rsid w:val="00BB3523"/>
    <w:rsid w:val="00BB3F35"/>
    <w:rsid w:val="00BC43BE"/>
    <w:rsid w:val="00BC455B"/>
    <w:rsid w:val="00BC7669"/>
    <w:rsid w:val="00BC7C4D"/>
    <w:rsid w:val="00BD5E81"/>
    <w:rsid w:val="00BE142E"/>
    <w:rsid w:val="00BE4F7E"/>
    <w:rsid w:val="00BF755E"/>
    <w:rsid w:val="00C1135C"/>
    <w:rsid w:val="00C211A8"/>
    <w:rsid w:val="00C33333"/>
    <w:rsid w:val="00C546F2"/>
    <w:rsid w:val="00C57AE9"/>
    <w:rsid w:val="00C60188"/>
    <w:rsid w:val="00C73429"/>
    <w:rsid w:val="00C75A4D"/>
    <w:rsid w:val="00C84BA1"/>
    <w:rsid w:val="00C8639D"/>
    <w:rsid w:val="00C960A4"/>
    <w:rsid w:val="00CA23B0"/>
    <w:rsid w:val="00CB12C9"/>
    <w:rsid w:val="00CD4A42"/>
    <w:rsid w:val="00CF5F41"/>
    <w:rsid w:val="00D01345"/>
    <w:rsid w:val="00D05E1B"/>
    <w:rsid w:val="00D20371"/>
    <w:rsid w:val="00D2165B"/>
    <w:rsid w:val="00D23A1D"/>
    <w:rsid w:val="00D52A1D"/>
    <w:rsid w:val="00D54556"/>
    <w:rsid w:val="00D57803"/>
    <w:rsid w:val="00D61AFD"/>
    <w:rsid w:val="00D67655"/>
    <w:rsid w:val="00D829DF"/>
    <w:rsid w:val="00D87293"/>
    <w:rsid w:val="00DA40CD"/>
    <w:rsid w:val="00DB5158"/>
    <w:rsid w:val="00DF4BD1"/>
    <w:rsid w:val="00E01AD8"/>
    <w:rsid w:val="00E03097"/>
    <w:rsid w:val="00E11FA4"/>
    <w:rsid w:val="00E217A4"/>
    <w:rsid w:val="00E2758E"/>
    <w:rsid w:val="00E343EE"/>
    <w:rsid w:val="00E376AA"/>
    <w:rsid w:val="00E55974"/>
    <w:rsid w:val="00E572EA"/>
    <w:rsid w:val="00E629F0"/>
    <w:rsid w:val="00E77668"/>
    <w:rsid w:val="00E804FC"/>
    <w:rsid w:val="00E93AEB"/>
    <w:rsid w:val="00EA25C3"/>
    <w:rsid w:val="00EB3F3A"/>
    <w:rsid w:val="00EC7E98"/>
    <w:rsid w:val="00EE0D70"/>
    <w:rsid w:val="00EE4FBC"/>
    <w:rsid w:val="00F01536"/>
    <w:rsid w:val="00F0290D"/>
    <w:rsid w:val="00F02F30"/>
    <w:rsid w:val="00F0569C"/>
    <w:rsid w:val="00F07DBF"/>
    <w:rsid w:val="00F12AF2"/>
    <w:rsid w:val="00F13CE4"/>
    <w:rsid w:val="00F15084"/>
    <w:rsid w:val="00F25A85"/>
    <w:rsid w:val="00F30FEA"/>
    <w:rsid w:val="00F4584B"/>
    <w:rsid w:val="00F4771A"/>
    <w:rsid w:val="00F53DFC"/>
    <w:rsid w:val="00F6742F"/>
    <w:rsid w:val="00F7381A"/>
    <w:rsid w:val="00F75019"/>
    <w:rsid w:val="00F814DE"/>
    <w:rsid w:val="00FC0324"/>
    <w:rsid w:val="00FC383F"/>
    <w:rsid w:val="00FF15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9C0D0"/>
  <w15:docId w15:val="{1B7E1661-E460-436A-83AE-9C9F7A8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4"/>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B0546D"/>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0546D"/>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B0546D"/>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B0546D"/>
    <w:pPr>
      <w:keepNext/>
      <w:keepLines/>
      <w:spacing w:before="40"/>
      <w:outlineLvl w:val="3"/>
    </w:pPr>
    <w:rPr>
      <w:rFonts w:eastAsiaTheme="majorEastAsia" w:cstheme="majorBidi"/>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B0546D"/>
    <w:rPr>
      <w:rFonts w:ascii="Raleway" w:eastAsiaTheme="majorEastAsia" w:hAnsi="Raleway" w:cstheme="majorBidi"/>
      <w:b/>
      <w:bCs/>
      <w:sz w:val="26"/>
      <w:szCs w:val="28"/>
    </w:rPr>
  </w:style>
  <w:style w:type="character" w:styleId="Kommentarhenvisning">
    <w:name w:val="annotation reference"/>
    <w:basedOn w:val="Standardskrifttypeiafsnit"/>
    <w:uiPriority w:val="99"/>
    <w:semiHidden/>
    <w:unhideWhenUsed/>
    <w:rsid w:val="00C1135C"/>
    <w:rPr>
      <w:sz w:val="16"/>
      <w:szCs w:val="16"/>
    </w:rPr>
  </w:style>
  <w:style w:type="character" w:customStyle="1" w:styleId="Overskrift2Tegn">
    <w:name w:val="Overskrift 2 Tegn"/>
    <w:basedOn w:val="Standardskrifttypeiafsnit"/>
    <w:link w:val="Overskrift2"/>
    <w:uiPriority w:val="9"/>
    <w:rsid w:val="00B0546D"/>
    <w:rPr>
      <w:rFonts w:ascii="Raleway" w:eastAsiaTheme="majorEastAsia" w:hAnsi="Raleway" w:cstheme="majorBidi"/>
      <w:b/>
      <w:bCs/>
      <w:szCs w:val="26"/>
    </w:rPr>
  </w:style>
  <w:style w:type="paragraph" w:styleId="Kommentartekst">
    <w:name w:val="annotation text"/>
    <w:basedOn w:val="Normal"/>
    <w:link w:val="KommentartekstTegn"/>
    <w:uiPriority w:val="99"/>
    <w:semiHidden/>
    <w:unhideWhenUsed/>
    <w:rsid w:val="00C1135C"/>
    <w:pPr>
      <w:spacing w:line="240" w:lineRule="auto"/>
    </w:pPr>
    <w:rPr>
      <w:szCs w:val="20"/>
    </w:rPr>
  </w:style>
  <w:style w:type="character" w:customStyle="1" w:styleId="KommentartekstTegn">
    <w:name w:val="Kommentartekst Tegn"/>
    <w:basedOn w:val="Standardskrifttypeiafsnit"/>
    <w:link w:val="Kommentartekst"/>
    <w:uiPriority w:val="99"/>
    <w:semiHidden/>
    <w:rsid w:val="00C1135C"/>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C1135C"/>
    <w:rPr>
      <w:b/>
      <w:bCs/>
    </w:rPr>
  </w:style>
  <w:style w:type="character" w:customStyle="1" w:styleId="KommentaremneTegn">
    <w:name w:val="Kommentaremne Tegn"/>
    <w:basedOn w:val="KommentartekstTegn"/>
    <w:link w:val="Kommentaremne"/>
    <w:uiPriority w:val="99"/>
    <w:semiHidden/>
    <w:rsid w:val="00C1135C"/>
    <w:rPr>
      <w:rFonts w:ascii="Georgia" w:hAnsi="Georgia"/>
      <w:b/>
      <w:bCs/>
      <w:sz w:val="20"/>
      <w:szCs w:val="20"/>
    </w:rPr>
  </w:style>
  <w:style w:type="paragraph" w:customStyle="1" w:styleId="MvhLedetekst">
    <w:name w:val="MvhLedetekst"/>
    <w:basedOn w:val="Normal"/>
    <w:rsid w:val="00293D73"/>
    <w:pPr>
      <w:spacing w:before="240" w:after="480"/>
    </w:pPr>
  </w:style>
  <w:style w:type="paragraph" w:customStyle="1" w:styleId="Kolofon">
    <w:name w:val="Kolofon"/>
    <w:basedOn w:val="Normal"/>
    <w:rsid w:val="00820156"/>
    <w:pPr>
      <w:tabs>
        <w:tab w:val="left" w:pos="567"/>
      </w:tabs>
      <w:spacing w:line="200" w:lineRule="atLeast"/>
    </w:pPr>
    <w:rPr>
      <w:sz w:val="14"/>
    </w:rPr>
  </w:style>
  <w:style w:type="paragraph" w:customStyle="1" w:styleId="Sidenummerering">
    <w:name w:val="Sidenummerering"/>
    <w:basedOn w:val="Kolofon"/>
    <w:rsid w:val="00E376AA"/>
    <w:pPr>
      <w:jc w:val="right"/>
    </w:pPr>
  </w:style>
  <w:style w:type="paragraph" w:customStyle="1" w:styleId="Datalinje">
    <w:name w:val="Datalinje"/>
    <w:basedOn w:val="Normal"/>
    <w:rsid w:val="00861B86"/>
    <w:pPr>
      <w:spacing w:line="200" w:lineRule="atLeast"/>
    </w:pPr>
    <w:rPr>
      <w:sz w:val="14"/>
    </w:rPr>
  </w:style>
  <w:style w:type="paragraph" w:customStyle="1" w:styleId="Notat">
    <w:name w:val="Notat"/>
    <w:basedOn w:val="Overskrift2"/>
    <w:rsid w:val="00B4060C"/>
    <w:rPr>
      <w:caps/>
    </w:rPr>
  </w:style>
  <w:style w:type="character" w:customStyle="1" w:styleId="Overskrift3Tegn">
    <w:name w:val="Overskrift 3 Tegn"/>
    <w:basedOn w:val="Standardskrifttypeiafsnit"/>
    <w:link w:val="Overskrift3"/>
    <w:uiPriority w:val="9"/>
    <w:rsid w:val="00B0546D"/>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B0546D"/>
    <w:rPr>
      <w:rFonts w:ascii="Raleway" w:eastAsiaTheme="majorEastAsia" w:hAnsi="Raleway" w:cstheme="majorBidi"/>
      <w:i/>
      <w:iCs/>
      <w:sz w:val="18"/>
    </w:rPr>
  </w:style>
  <w:style w:type="paragraph" w:customStyle="1" w:styleId="paragraf">
    <w:name w:val="paragraf"/>
    <w:basedOn w:val="Normal"/>
    <w:rsid w:val="001277FB"/>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1277FB"/>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1277FB"/>
    <w:pPr>
      <w:spacing w:line="240" w:lineRule="auto"/>
      <w:ind w:left="280"/>
    </w:pPr>
    <w:rPr>
      <w:rFonts w:ascii="Tahoma" w:eastAsia="Times New Roman" w:hAnsi="Tahoma" w:cs="Tahoma"/>
      <w:color w:val="000000"/>
      <w:sz w:val="24"/>
      <w:szCs w:val="24"/>
      <w:lang w:eastAsia="da-DK"/>
    </w:rPr>
  </w:style>
  <w:style w:type="character" w:customStyle="1" w:styleId="liste1nr1">
    <w:name w:val="liste1nr1"/>
    <w:rsid w:val="001277FB"/>
    <w:rPr>
      <w:rFonts w:ascii="Tahoma" w:hAnsi="Tahoma" w:cs="Tahoma" w:hint="default"/>
      <w:color w:val="000000"/>
      <w:sz w:val="24"/>
      <w:szCs w:val="24"/>
      <w:shd w:val="clear" w:color="auto" w:fill="auto"/>
    </w:rPr>
  </w:style>
  <w:style w:type="character" w:customStyle="1" w:styleId="stknr1">
    <w:name w:val="stknr1"/>
    <w:rsid w:val="001277FB"/>
    <w:rPr>
      <w:rFonts w:ascii="Tahoma" w:hAnsi="Tahoma" w:cs="Tahoma" w:hint="default"/>
      <w:i/>
      <w:iCs/>
      <w:color w:val="000000"/>
      <w:sz w:val="24"/>
      <w:szCs w:val="24"/>
      <w:shd w:val="clear" w:color="auto" w:fill="auto"/>
    </w:rPr>
  </w:style>
  <w:style w:type="paragraph" w:styleId="Listeafsnit">
    <w:name w:val="List Paragraph"/>
    <w:basedOn w:val="Normal"/>
    <w:uiPriority w:val="34"/>
    <w:rsid w:val="00127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8001">
      <w:bodyDiv w:val="1"/>
      <w:marLeft w:val="0"/>
      <w:marRight w:val="0"/>
      <w:marTop w:val="0"/>
      <w:marBottom w:val="0"/>
      <w:divBdr>
        <w:top w:val="none" w:sz="0" w:space="0" w:color="auto"/>
        <w:left w:val="none" w:sz="0" w:space="0" w:color="auto"/>
        <w:bottom w:val="none" w:sz="0" w:space="0" w:color="auto"/>
        <w:right w:val="none" w:sz="0" w:space="0" w:color="auto"/>
      </w:divBdr>
    </w:div>
    <w:div w:id="74862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hultzkommunekoncept.dk/h/dc4abf9d-3b15-46eb-887c-ba6bda9f30bd/for201606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ultzkommunekoncept.dk/h/dc4abf9d-3b15-46eb-887c-ba6bda9f30bd/for2016067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hultzkommunekoncept.dk/h/dc4abf9d-3b15-46eb-887c-ba6bda9f30bd/for20160679" TargetMode="External"/><Relationship Id="rId25" Type="http://schemas.openxmlformats.org/officeDocument/2006/relationships/hyperlink" Target="https://schultzkommunekoncept.dk/h/dc4abf9d-3b15-46eb-887c-ba6bda9f30bd/950a87f3a8e14dc69fb8f07ad9fa2343?showExact=true" TargetMode="External"/><Relationship Id="rId2" Type="http://schemas.openxmlformats.org/officeDocument/2006/relationships/numbering" Target="numbering.xml"/><Relationship Id="rId16" Type="http://schemas.openxmlformats.org/officeDocument/2006/relationships/hyperlink" Target="https://schultzkommunekoncept.dk/h/dc4abf9d-3b15-46eb-887c-ba6bda9f30bd/lov20180502_20180525" TargetMode="External"/><Relationship Id="rId20" Type="http://schemas.openxmlformats.org/officeDocument/2006/relationships/hyperlink" Target="https://schultzkommunekoncept.dk/h/dc4abf9d-3b15-46eb-887c-ba6bda9f30bd/for2016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hultzkommunekoncept.dk/h/dc4abf9d-3b15-46eb-887c-ba6bda9f30bd/lov19850571_19870101" TargetMode="External"/><Relationship Id="rId5" Type="http://schemas.openxmlformats.org/officeDocument/2006/relationships/webSettings" Target="webSettings.xml"/><Relationship Id="rId15" Type="http://schemas.openxmlformats.org/officeDocument/2006/relationships/hyperlink" Target="https://schultzkommunekoncept.dk/h/dc4abf9d-3b15-46eb-887c-ba6bda9f30bd/lov20180502_20180525" TargetMode="External"/><Relationship Id="rId23" Type="http://schemas.openxmlformats.org/officeDocument/2006/relationships/hyperlink" Target="https://schultzkommunekoncept.dk/h/dc4abf9d-3b15-46eb-887c-ba6bda9f30bd/lov20180502_20180525" TargetMode="External"/><Relationship Id="rId10" Type="http://schemas.openxmlformats.org/officeDocument/2006/relationships/footer" Target="footer1.xml"/><Relationship Id="rId19" Type="http://schemas.openxmlformats.org/officeDocument/2006/relationships/hyperlink" Target="https://schultzkommunekoncept.dk/h/dc4abf9d-3b15-46eb-887c-ba6bda9f30bd/for201606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hultzkommunekoncept.dk/h/dc4abf9d-3b15-46eb-887c-ba6bda9f30bd/lov20180502_20180525" TargetMode="External"/><Relationship Id="rId22" Type="http://schemas.openxmlformats.org/officeDocument/2006/relationships/hyperlink" Target="https://schultzkommunekoncept.dk/h/dc4abf9d-3b15-46eb-887c-ba6bda9f30bd/for20160679"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dcfs1\diskabeloner\dynamictemplate\Skabeloner\Tom%20skabelon.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2B9F-4734-4350-BE91-3EAD1B11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skabelon</Template>
  <TotalTime>23</TotalTime>
  <Pages>3</Pages>
  <Words>1935</Words>
  <Characters>11364</Characters>
  <Application>Microsoft Office Word</Application>
  <DocSecurity>0</DocSecurity>
  <Lines>299</Lines>
  <Paragraphs>87</Paragraphs>
  <ScaleCrop>false</ScaleCrop>
  <HeadingPairs>
    <vt:vector size="2" baseType="variant">
      <vt:variant>
        <vt:lpstr>Titel</vt:lpstr>
      </vt:variant>
      <vt:variant>
        <vt:i4>1</vt:i4>
      </vt:variant>
    </vt:vector>
  </HeadingPairs>
  <TitlesOfParts>
    <vt:vector size="1" baseType="lpstr">
      <vt:lpstr>- Haderslev Kommune</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Haderslev Kommune</dc:title>
  <dc:creator>Karin Munk Bach</dc:creator>
  <cp:lastModifiedBy>Karin Munk Bach</cp:lastModifiedBy>
  <cp:revision>2</cp:revision>
  <dcterms:created xsi:type="dcterms:W3CDTF">2025-10-08T13:13:00Z</dcterms:created>
  <dcterms:modified xsi:type="dcterms:W3CDTF">2025-10-08T19:43:00Z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{493D70A5-0277-4248-9144-E7C3EDF871A4}</vt:lpwstr>
  </property>
</Properties>
</file>